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07AD0B" w14:textId="77777777" w:rsidR="00681C21" w:rsidRPr="00681C21" w:rsidRDefault="00681C21" w:rsidP="00681C21">
      <w:pPr>
        <w:pStyle w:val="BodyText"/>
      </w:pPr>
    </w:p>
    <w:p w14:paraId="78E03041" w14:textId="589C11EE" w:rsidR="008D6F10" w:rsidRPr="00F31292" w:rsidRDefault="0026751D" w:rsidP="00681C21">
      <w:pPr>
        <w:pStyle w:val="Title"/>
        <w:spacing w:before="0" w:after="0" w:line="480" w:lineRule="auto"/>
        <w:rPr>
          <w:rFonts w:ascii="Times New Roman" w:hAnsi="Times New Roman" w:cs="Times New Roman"/>
          <w:b w:val="0"/>
          <w:bCs w:val="0"/>
          <w:color w:val="000000" w:themeColor="text1"/>
          <w:sz w:val="24"/>
          <w:szCs w:val="24"/>
        </w:rPr>
      </w:pPr>
      <w:r w:rsidRPr="00F31292">
        <w:rPr>
          <w:rFonts w:ascii="Times New Roman" w:hAnsi="Times New Roman" w:cs="Times New Roman"/>
          <w:b w:val="0"/>
          <w:bCs w:val="0"/>
          <w:color w:val="000000" w:themeColor="text1"/>
          <w:sz w:val="24"/>
          <w:szCs w:val="24"/>
        </w:rPr>
        <w:t>Skepticism and t</w:t>
      </w:r>
      <w:r w:rsidR="001D65DB" w:rsidRPr="00F31292">
        <w:rPr>
          <w:rFonts w:ascii="Times New Roman" w:hAnsi="Times New Roman" w:cs="Times New Roman"/>
          <w:b w:val="0"/>
          <w:bCs w:val="0"/>
          <w:color w:val="000000" w:themeColor="text1"/>
          <w:sz w:val="24"/>
          <w:szCs w:val="24"/>
        </w:rPr>
        <w:t>he Idea of Body</w:t>
      </w:r>
      <w:r w:rsidRPr="00F31292">
        <w:rPr>
          <w:rFonts w:ascii="Times New Roman" w:hAnsi="Times New Roman" w:cs="Times New Roman"/>
          <w:b w:val="0"/>
          <w:bCs w:val="0"/>
          <w:color w:val="000000" w:themeColor="text1"/>
          <w:sz w:val="24"/>
          <w:szCs w:val="24"/>
        </w:rPr>
        <w:t xml:space="preserve"> in Hume</w:t>
      </w:r>
    </w:p>
    <w:p w14:paraId="6B2D64A5" w14:textId="167DD32E" w:rsidR="008D6F10" w:rsidRDefault="008D6F10" w:rsidP="00F959A0">
      <w:pPr>
        <w:pStyle w:val="BodyText"/>
        <w:spacing w:before="0" w:after="0" w:line="360" w:lineRule="auto"/>
        <w:jc w:val="center"/>
        <w:rPr>
          <w:rFonts w:ascii="Times New Roman" w:hAnsi="Times New Roman" w:cs="Times New Roman"/>
        </w:rPr>
      </w:pPr>
      <w:r w:rsidRPr="00F31292">
        <w:rPr>
          <w:rFonts w:ascii="Times New Roman" w:hAnsi="Times New Roman" w:cs="Times New Roman"/>
        </w:rPr>
        <w:t>Bridger Ehli</w:t>
      </w:r>
    </w:p>
    <w:p w14:paraId="0C289710" w14:textId="73738522" w:rsidR="00F959A0" w:rsidRPr="00F959A0" w:rsidRDefault="00F959A0" w:rsidP="00F959A0">
      <w:pPr>
        <w:pStyle w:val="BodyText"/>
        <w:spacing w:before="0" w:after="360" w:line="360" w:lineRule="auto"/>
        <w:jc w:val="center"/>
        <w:rPr>
          <w:rFonts w:ascii="Times New Roman" w:hAnsi="Times New Roman" w:cs="Times New Roman"/>
          <w:i/>
          <w:iCs/>
        </w:rPr>
      </w:pPr>
      <w:r>
        <w:rPr>
          <w:rFonts w:ascii="Times New Roman" w:hAnsi="Times New Roman" w:cs="Times New Roman"/>
        </w:rPr>
        <w:t xml:space="preserve">Forthcoming in </w:t>
      </w:r>
      <w:r w:rsidRPr="00F959A0">
        <w:rPr>
          <w:rFonts w:ascii="Times New Roman" w:hAnsi="Times New Roman" w:cs="Times New Roman"/>
          <w:i/>
          <w:iCs/>
        </w:rPr>
        <w:t>Journal of the History of Philosophy</w:t>
      </w:r>
    </w:p>
    <w:p w14:paraId="2D457AEE" w14:textId="64BEC105" w:rsidR="00F959A0" w:rsidRDefault="00F959A0" w:rsidP="00F959A0">
      <w:pPr>
        <w:pStyle w:val="BodyText"/>
        <w:spacing w:line="276" w:lineRule="auto"/>
        <w:ind w:left="720" w:right="720"/>
        <w:jc w:val="both"/>
        <w:rPr>
          <w:rFonts w:ascii="Times New Roman" w:hAnsi="Times New Roman" w:cs="Times New Roman"/>
          <w:sz w:val="21"/>
          <w:szCs w:val="21"/>
        </w:rPr>
      </w:pPr>
      <w:r w:rsidRPr="00F959A0">
        <w:rPr>
          <w:rFonts w:ascii="Times New Roman" w:hAnsi="Times New Roman" w:cs="Times New Roman"/>
          <w:sz w:val="21"/>
          <w:szCs w:val="21"/>
        </w:rPr>
        <w:t xml:space="preserve">In section 1.4.4 of the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 xml:space="preserve">, “Of the modern philosophy,” Hume offers a skeptical argument concerning the distinction between primary and secondary qualities. The argument in that section is often understood to aim to undermine the modern philosophy’s account of body, according to which bodies lack paradigmatic secondary qualities, by showing that it has “extravagant” skeptical consequences. I argue that Hume does not reject the core commitments of the modern philosophy. His aim in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 is not to undermine any particular account of body but rather to establish the deeply rooted inadequacy of our cognition of external bodies. </w:t>
      </w:r>
    </w:p>
    <w:p w14:paraId="4977B859" w14:textId="77777777" w:rsidR="00F959A0" w:rsidRPr="00F959A0" w:rsidRDefault="00F959A0" w:rsidP="00F959A0">
      <w:pPr>
        <w:pStyle w:val="BodyText"/>
        <w:spacing w:line="276" w:lineRule="auto"/>
        <w:ind w:left="720" w:right="720"/>
        <w:jc w:val="both"/>
        <w:rPr>
          <w:rFonts w:ascii="Times New Roman" w:hAnsi="Times New Roman" w:cs="Times New Roman"/>
          <w:sz w:val="21"/>
          <w:szCs w:val="21"/>
        </w:rPr>
      </w:pPr>
    </w:p>
    <w:p w14:paraId="167BEA58" w14:textId="75F5FC36" w:rsidR="00F959A0" w:rsidRPr="00F31292" w:rsidRDefault="008D6F10" w:rsidP="00F959A0">
      <w:pPr>
        <w:pStyle w:val="BodyText"/>
        <w:spacing w:before="0" w:after="0" w:line="480" w:lineRule="auto"/>
        <w:jc w:val="both"/>
        <w:rPr>
          <w:rFonts w:ascii="Times New Roman" w:hAnsi="Times New Roman" w:cs="Times New Roman"/>
        </w:rPr>
      </w:pPr>
      <w:r w:rsidRPr="00F31292">
        <w:rPr>
          <w:rFonts w:ascii="Times New Roman" w:hAnsi="Times New Roman" w:cs="Times New Roman"/>
        </w:rPr>
        <w:t>Hume tells us that four sciences––logic, morals, criticism, and politics––include “almost every thing, which it can any way import us to be acquainted with, or which can tend either to the improvement or ornament of the human mind” (</w:t>
      </w:r>
      <w:r w:rsidRPr="00F31292">
        <w:rPr>
          <w:rFonts w:ascii="Times New Roman" w:hAnsi="Times New Roman" w:cs="Times New Roman"/>
          <w:i/>
          <w:iCs/>
        </w:rPr>
        <w:t>T</w:t>
      </w:r>
      <w:r w:rsidRPr="00F31292">
        <w:rPr>
          <w:rFonts w:ascii="Times New Roman" w:hAnsi="Times New Roman" w:cs="Times New Roman"/>
        </w:rPr>
        <w:t xml:space="preserve"> Intro 5).</w:t>
      </w:r>
      <w:r w:rsidR="00F959A0" w:rsidRPr="00F31292">
        <w:rPr>
          <w:rStyle w:val="FootnoteReference"/>
          <w:rFonts w:ascii="Times New Roman" w:hAnsi="Times New Roman" w:cs="Times New Roman"/>
        </w:rPr>
        <w:footnoteReference w:id="1"/>
      </w:r>
      <w:r w:rsidR="00F959A0" w:rsidRPr="00F31292">
        <w:rPr>
          <w:rFonts w:ascii="Times New Roman" w:hAnsi="Times New Roman" w:cs="Times New Roman"/>
        </w:rPr>
        <w:t xml:space="preserve"> Book 1 of the </w:t>
      </w:r>
      <w:r w:rsidR="00F959A0" w:rsidRPr="00F31292">
        <w:rPr>
          <w:rFonts w:ascii="Times New Roman" w:hAnsi="Times New Roman" w:cs="Times New Roman"/>
          <w:i/>
          <w:iCs/>
        </w:rPr>
        <w:t>Treatise</w:t>
      </w:r>
      <w:r w:rsidR="00F959A0" w:rsidRPr="00F31292">
        <w:rPr>
          <w:rFonts w:ascii="Times New Roman" w:hAnsi="Times New Roman" w:cs="Times New Roman"/>
        </w:rPr>
        <w:t xml:space="preserve"> is an entry in the first of these sciences, one ambition of which is to explain “the nature of our ideas” (</w:t>
      </w:r>
      <w:r w:rsidR="00F959A0" w:rsidRPr="00F31292">
        <w:rPr>
          <w:rFonts w:ascii="Times New Roman" w:hAnsi="Times New Roman" w:cs="Times New Roman"/>
          <w:i/>
          <w:iCs/>
        </w:rPr>
        <w:t>T</w:t>
      </w:r>
      <w:r w:rsidR="00F959A0" w:rsidRPr="00F31292">
        <w:rPr>
          <w:rFonts w:ascii="Times New Roman" w:hAnsi="Times New Roman" w:cs="Times New Roman"/>
        </w:rPr>
        <w:t xml:space="preserve"> Intro 5). Some of Hume’s investigations of our ideas are vindicating, implying that certain ideas, when properly understood, are free from confusion and obscurity. For example, despite his initial perplexity concerning the source of the idea of causal necessity, Hume concludes that it can be understood as the idea of “that determination of the thought to pass from causes to effects and from effects to causes” (</w:t>
      </w:r>
      <w:r w:rsidR="00F959A0" w:rsidRPr="00F31292">
        <w:rPr>
          <w:rFonts w:ascii="Times New Roman" w:hAnsi="Times New Roman" w:cs="Times New Roman"/>
          <w:i/>
          <w:iCs/>
        </w:rPr>
        <w:t>T</w:t>
      </w:r>
      <w:r w:rsidR="00F959A0" w:rsidRPr="00F31292">
        <w:rPr>
          <w:rFonts w:ascii="Times New Roman" w:hAnsi="Times New Roman" w:cs="Times New Roman"/>
        </w:rPr>
        <w:t xml:space="preserve"> 1.3.14.22). Other accounts of our ideas included in the </w:t>
      </w:r>
      <w:r w:rsidR="00F959A0" w:rsidRPr="00F31292">
        <w:rPr>
          <w:rFonts w:ascii="Times New Roman" w:hAnsi="Times New Roman" w:cs="Times New Roman"/>
          <w:i/>
          <w:iCs/>
        </w:rPr>
        <w:t>Treatise</w:t>
      </w:r>
      <w:r w:rsidR="00F959A0" w:rsidRPr="00F31292">
        <w:rPr>
          <w:rFonts w:ascii="Times New Roman" w:hAnsi="Times New Roman" w:cs="Times New Roman"/>
        </w:rPr>
        <w:t xml:space="preserve">’s logic have an undermining function, showing that certain ideas are in some respect defective. Such accounts instance what Fogelin calls </w:t>
      </w:r>
      <w:r w:rsidR="00F959A0" w:rsidRPr="00F31292">
        <w:rPr>
          <w:rFonts w:ascii="Times New Roman" w:hAnsi="Times New Roman" w:cs="Times New Roman"/>
          <w:i/>
          <w:iCs/>
        </w:rPr>
        <w:t>conceptual skepticism</w:t>
      </w:r>
      <w:r w:rsidR="00F959A0" w:rsidRPr="00F31292">
        <w:rPr>
          <w:rFonts w:ascii="Times New Roman" w:hAnsi="Times New Roman" w:cs="Times New Roman"/>
        </w:rPr>
        <w:t>. Conceptual skepticism does not aim to subvert the grounds or justification of one’s beliefs; rather, it challenges “the very</w:t>
      </w:r>
      <w:r w:rsidR="00F959A0">
        <w:rPr>
          <w:rFonts w:ascii="Times New Roman" w:hAnsi="Times New Roman" w:cs="Times New Roman"/>
        </w:rPr>
        <w:t xml:space="preserve"> </w:t>
      </w:r>
      <w:r w:rsidR="00F959A0" w:rsidRPr="00F31292">
        <w:rPr>
          <w:rFonts w:ascii="Times New Roman" w:hAnsi="Times New Roman" w:cs="Times New Roman"/>
        </w:rPr>
        <w:t xml:space="preserve">intelligibility of a system </w:t>
      </w:r>
      <w:r w:rsidR="00F959A0" w:rsidRPr="00F31292">
        <w:rPr>
          <w:rFonts w:ascii="Times New Roman" w:hAnsi="Times New Roman" w:cs="Times New Roman"/>
        </w:rPr>
        <w:lastRenderedPageBreak/>
        <w:t>of beliefs.”</w:t>
      </w:r>
      <w:r w:rsidR="00F959A0" w:rsidRPr="00F31292">
        <w:rPr>
          <w:rStyle w:val="FootnoteReference"/>
          <w:rFonts w:ascii="Times New Roman" w:hAnsi="Times New Roman" w:cs="Times New Roman"/>
        </w:rPr>
        <w:footnoteReference w:id="2"/>
      </w:r>
      <w:r w:rsidR="00F959A0" w:rsidRPr="00F31292">
        <w:rPr>
          <w:rFonts w:ascii="Times New Roman" w:hAnsi="Times New Roman" w:cs="Times New Roman"/>
        </w:rPr>
        <w:t xml:space="preserve"> By identifying defects in the contents of certain beliefs, instances of conceptual skepticism display the inadequacy of our cognition of some domain. My aim is to show that Hume pursues this skeptical strategy in a relatively neglected section of the </w:t>
      </w:r>
      <w:r w:rsidR="00F959A0" w:rsidRPr="00F31292">
        <w:rPr>
          <w:rFonts w:ascii="Times New Roman" w:hAnsi="Times New Roman" w:cs="Times New Roman"/>
          <w:i/>
          <w:iCs/>
        </w:rPr>
        <w:t>Treatise</w:t>
      </w:r>
      <w:r w:rsidR="00F959A0" w:rsidRPr="00F31292">
        <w:rPr>
          <w:rFonts w:ascii="Times New Roman" w:hAnsi="Times New Roman" w:cs="Times New Roman"/>
        </w:rPr>
        <w:t>, 1.4.4, “Of the modern philosophy” (MP), and, moreover, that the section’s skepticism is more forceful and wide-reaching than has usually been understood.</w:t>
      </w:r>
    </w:p>
    <w:p w14:paraId="1A0BA75D" w14:textId="6A29E69A"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MP’s topic is what Hume calls “the modern philosophy.” Whereas “the antient philosophy” is characterized by fictions including substance, accident, and substantial form, the modern philosophy is characterized by a distinction between the primary and secondary qualities of body. In the first phase of MP (paragraphs 1</w:t>
      </w:r>
      <w:r>
        <w:rPr>
          <w:rFonts w:ascii="Times New Roman" w:hAnsi="Times New Roman" w:cs="Times New Roman"/>
        </w:rPr>
        <w:t>–</w:t>
      </w:r>
      <w:r w:rsidRPr="00F31292">
        <w:rPr>
          <w:rFonts w:ascii="Times New Roman" w:hAnsi="Times New Roman" w:cs="Times New Roman"/>
        </w:rPr>
        <w:t xml:space="preserve">5), Hume provides a causal proof of what I call the </w:t>
      </w:r>
      <w:r w:rsidRPr="00F31292">
        <w:rPr>
          <w:rFonts w:ascii="Times New Roman" w:hAnsi="Times New Roman" w:cs="Times New Roman"/>
          <w:i/>
          <w:iCs/>
        </w:rPr>
        <w:t>negative commitment</w:t>
      </w:r>
      <w:r w:rsidRPr="00F31292">
        <w:rPr>
          <w:rFonts w:ascii="Times New Roman" w:hAnsi="Times New Roman" w:cs="Times New Roman"/>
        </w:rPr>
        <w:t xml:space="preserve"> of the modern philosophy: paradigmatic secondary qualities, such as “colours, sounds, tastes, smells, heat and cold,” do not enjoy continued and distinct existence and are mere perceptions that do not resemble any real properties of bodies.</w:t>
      </w:r>
      <w:r w:rsidRPr="00F31292">
        <w:rPr>
          <w:rStyle w:val="FootnoteReference"/>
          <w:rFonts w:ascii="Times New Roman" w:hAnsi="Times New Roman" w:cs="Times New Roman"/>
        </w:rPr>
        <w:footnoteReference w:id="3"/>
      </w:r>
      <w:r w:rsidRPr="00F31292">
        <w:rPr>
          <w:rFonts w:ascii="Times New Roman" w:hAnsi="Times New Roman" w:cs="Times New Roman"/>
        </w:rPr>
        <w:t xml:space="preserve"> He then infers as an “easy consequence” what I call the </w:t>
      </w:r>
      <w:r w:rsidRPr="00F31292">
        <w:rPr>
          <w:rFonts w:ascii="Times New Roman" w:hAnsi="Times New Roman" w:cs="Times New Roman"/>
          <w:i/>
          <w:iCs/>
        </w:rPr>
        <w:t>positive commitment</w:t>
      </w:r>
      <w:r w:rsidRPr="00F31292">
        <w:rPr>
          <w:rFonts w:ascii="Times New Roman" w:hAnsi="Times New Roman" w:cs="Times New Roman"/>
        </w:rPr>
        <w:t xml:space="preserve"> of the modern philosophy: if a sensible quality enjoys continued and distinct existence, then it is among the paradigmatic primary qualities, which include “extension and solidity, with their different mixtures and modifications; figure, motion, gravity, and cohesion” (</w:t>
      </w:r>
      <w:r w:rsidRPr="00F31292">
        <w:rPr>
          <w:rFonts w:ascii="Times New Roman" w:hAnsi="Times New Roman" w:cs="Times New Roman"/>
          <w:i/>
          <w:iCs/>
        </w:rPr>
        <w:t>T</w:t>
      </w:r>
      <w:r w:rsidRPr="00F31292">
        <w:rPr>
          <w:rFonts w:ascii="Times New Roman" w:hAnsi="Times New Roman" w:cs="Times New Roman"/>
        </w:rPr>
        <w:t xml:space="preserve"> 1.4.4.3</w:t>
      </w:r>
      <w:r>
        <w:rPr>
          <w:rFonts w:ascii="Times New Roman" w:hAnsi="Times New Roman" w:cs="Times New Roman"/>
        </w:rPr>
        <w:t>–</w:t>
      </w:r>
      <w:r w:rsidRPr="00F31292">
        <w:rPr>
          <w:rFonts w:ascii="Times New Roman" w:hAnsi="Times New Roman" w:cs="Times New Roman"/>
        </w:rPr>
        <w:t>5).</w:t>
      </w:r>
      <w:r w:rsidRPr="00F31292">
        <w:rPr>
          <w:rStyle w:val="FootnoteReference"/>
          <w:rFonts w:ascii="Times New Roman" w:hAnsi="Times New Roman" w:cs="Times New Roman"/>
        </w:rPr>
        <w:footnoteReference w:id="4"/>
      </w:r>
      <w:r w:rsidRPr="00F31292">
        <w:rPr>
          <w:rFonts w:ascii="Times New Roman" w:hAnsi="Times New Roman" w:cs="Times New Roman"/>
        </w:rPr>
        <w:t xml:space="preserve"> In the second phase</w:t>
      </w:r>
      <w:r w:rsidRPr="00F31292">
        <w:rPr>
          <w:rFonts w:ascii="Times New Roman" w:hAnsi="Times New Roman" w:cs="Times New Roman"/>
          <w:i/>
          <w:iCs/>
        </w:rPr>
        <w:t xml:space="preserve"> </w:t>
      </w:r>
      <w:r w:rsidRPr="00F31292">
        <w:rPr>
          <w:rFonts w:ascii="Times New Roman" w:hAnsi="Times New Roman" w:cs="Times New Roman"/>
        </w:rPr>
        <w:t>of MP (paragraphs 6</w:t>
      </w:r>
      <w:r>
        <w:rPr>
          <w:rFonts w:ascii="Times New Roman" w:hAnsi="Times New Roman" w:cs="Times New Roman"/>
        </w:rPr>
        <w:t>–</w:t>
      </w:r>
      <w:r w:rsidRPr="00F31292">
        <w:rPr>
          <w:rFonts w:ascii="Times New Roman" w:hAnsi="Times New Roman" w:cs="Times New Roman"/>
        </w:rPr>
        <w:t>15), Hume argues that the modern philosophy has “extravagant” skeptical consequences (</w:t>
      </w:r>
      <w:r w:rsidRPr="00F31292">
        <w:rPr>
          <w:rFonts w:ascii="Times New Roman" w:hAnsi="Times New Roman" w:cs="Times New Roman"/>
          <w:i/>
          <w:iCs/>
        </w:rPr>
        <w:t>T</w:t>
      </w:r>
      <w:r w:rsidRPr="00F31292">
        <w:rPr>
          <w:rFonts w:ascii="Times New Roman" w:hAnsi="Times New Roman" w:cs="Times New Roman"/>
        </w:rPr>
        <w:t xml:space="preserve"> 1.4.4.6).</w:t>
      </w:r>
    </w:p>
    <w:p w14:paraId="6D8779B4" w14:textId="40C706C8"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lastRenderedPageBreak/>
        <w:t>Hume’s intentions in MP are notoriously opaque. Wright suggests that Hume’s discussion is “too paradoxical to allow us to come to any definitive interpretation of his own views.”</w:t>
      </w:r>
      <w:r w:rsidRPr="00F31292">
        <w:rPr>
          <w:rStyle w:val="FootnoteReference"/>
          <w:rFonts w:ascii="Times New Roman" w:hAnsi="Times New Roman" w:cs="Times New Roman"/>
        </w:rPr>
        <w:t xml:space="preserve"> </w:t>
      </w:r>
      <w:r w:rsidRPr="00F31292">
        <w:rPr>
          <w:rStyle w:val="FootnoteReference"/>
          <w:rFonts w:ascii="Times New Roman" w:hAnsi="Times New Roman" w:cs="Times New Roman"/>
        </w:rPr>
        <w:footnoteReference w:id="5"/>
      </w:r>
      <w:r w:rsidRPr="00F31292">
        <w:rPr>
          <w:rFonts w:ascii="Times New Roman" w:hAnsi="Times New Roman" w:cs="Times New Roman"/>
        </w:rPr>
        <w:t xml:space="preserve"> The section is usually understood to undermine the modern philosophy by targeting its distinction between primary and secondary qualities. Pitson understands MP’s skeptical argument as a “reductio ad absurdum proof of the falsity of the modern philosophy.”</w:t>
      </w:r>
      <w:r w:rsidRPr="00F31292">
        <w:rPr>
          <w:rStyle w:val="FootnoteReference"/>
          <w:rFonts w:ascii="Times New Roman" w:hAnsi="Times New Roman" w:cs="Times New Roman"/>
        </w:rPr>
        <w:footnoteReference w:id="6"/>
      </w:r>
      <w:r w:rsidRPr="00F31292">
        <w:rPr>
          <w:rFonts w:ascii="Times New Roman" w:hAnsi="Times New Roman" w:cs="Times New Roman"/>
        </w:rPr>
        <w:t xml:space="preserve"> Qu writes that MP “undermine[s] the distinction between primary and secondary qualities.”</w:t>
      </w:r>
      <w:r w:rsidRPr="00F31292">
        <w:rPr>
          <w:rStyle w:val="FootnoteReference"/>
          <w:rFonts w:ascii="Times New Roman" w:hAnsi="Times New Roman" w:cs="Times New Roman"/>
        </w:rPr>
        <w:footnoteReference w:id="7"/>
      </w:r>
      <w:r w:rsidRPr="00F31292">
        <w:rPr>
          <w:rFonts w:ascii="Times New Roman" w:hAnsi="Times New Roman" w:cs="Times New Roman"/>
        </w:rPr>
        <w:t xml:space="preserve"> Such interpreters endorse what I call the </w:t>
      </w:r>
      <w:r w:rsidRPr="00F31292">
        <w:rPr>
          <w:rFonts w:ascii="Times New Roman" w:hAnsi="Times New Roman" w:cs="Times New Roman"/>
          <w:i/>
          <w:iCs/>
        </w:rPr>
        <w:t>standard reading</w:t>
      </w:r>
      <w:r w:rsidRPr="00F31292">
        <w:rPr>
          <w:rFonts w:ascii="Times New Roman" w:hAnsi="Times New Roman" w:cs="Times New Roman"/>
        </w:rPr>
        <w:t>. This reading holds (i) that Hume’s principal aim in MP is to undermine the modern philosophy and (ii) the section undermines the modern philosophy by arguing that its central claims—the positive and negative commitments—imply unacceptable results and ought to be rejected. According to the standard reading, any apparent endorsements of the modern philosophy’s core commitments in MP are merely provisional, and the section shows the idea of body to be defective only if those commitments are maintained.</w:t>
      </w:r>
    </w:p>
    <w:p w14:paraId="72959EF1" w14:textId="7D432953"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I argue for two theses. First, the denial of the commitments of the modern philosophy is neither the conclusion nor a premise of the argument of MP. Second, that argument does not </w:t>
      </w:r>
      <w:r w:rsidRPr="00F31292">
        <w:rPr>
          <w:rFonts w:ascii="Times New Roman" w:hAnsi="Times New Roman" w:cs="Times New Roman"/>
          <w:i/>
          <w:iCs/>
        </w:rPr>
        <w:t>merely</w:t>
      </w:r>
      <w:r w:rsidRPr="00F31292">
        <w:rPr>
          <w:rFonts w:ascii="Times New Roman" w:hAnsi="Times New Roman" w:cs="Times New Roman"/>
        </w:rPr>
        <w:t xml:space="preserve"> </w:t>
      </w:r>
      <w:r w:rsidRPr="00F31292">
        <w:rPr>
          <w:rFonts w:ascii="Times New Roman" w:hAnsi="Times New Roman" w:cs="Times New Roman"/>
        </w:rPr>
        <w:lastRenderedPageBreak/>
        <w:t xml:space="preserve">undermine the particular account of body accepted by the modern philosophy but rather undermines </w:t>
      </w:r>
      <w:r w:rsidRPr="00F31292">
        <w:rPr>
          <w:rFonts w:ascii="Times New Roman" w:hAnsi="Times New Roman" w:cs="Times New Roman"/>
          <w:i/>
          <w:iCs/>
        </w:rPr>
        <w:t>any</w:t>
      </w:r>
      <w:r w:rsidRPr="00F31292">
        <w:rPr>
          <w:rFonts w:ascii="Times New Roman" w:hAnsi="Times New Roman" w:cs="Times New Roman"/>
        </w:rPr>
        <w:t xml:space="preserve"> account of body whatever. MP’s skeptical force is greater than the standard reading implies: given the cognitive capacities we possess, we are unable to achieve an “adequate notion” of body (</w:t>
      </w:r>
      <w:r w:rsidRPr="00F31292">
        <w:rPr>
          <w:rFonts w:ascii="Times New Roman" w:hAnsi="Times New Roman" w:cs="Times New Roman"/>
          <w:i/>
          <w:iCs/>
        </w:rPr>
        <w:t>T</w:t>
      </w:r>
      <w:r w:rsidRPr="00F31292">
        <w:rPr>
          <w:rFonts w:ascii="Times New Roman" w:hAnsi="Times New Roman" w:cs="Times New Roman"/>
        </w:rPr>
        <w:t xml:space="preserve"> 1.4.4.5). Hume endorses the deeply rooted inadequacy of our cognition of external bodies. In addition to my arguments against the standard reading, I argue against recent interpreters who take Hume to reach metaphysical conclusions on the basis of the skeptical argument of MP. While that argument does undermine the epistemic merit of a version of the belief in body that survives MP’s conceptual skepticism, Hume does not take it to license conclusions about body’s existence.</w:t>
      </w:r>
    </w:p>
    <w:p w14:paraId="64A2A7ED" w14:textId="3AB17189"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I begin by situating MP’s skeptical argument in its historical context, surveying the destructive purposes to which early modern authors put the distinction between primary and secondary qualities (§1). Next, I outline Hume’s account of the idea of body, parts of which emerge during his attempt to rebut paradoxes concerning the infinite divisibility of extension (§2). I then consider the first phase of MP (§3). I present textual evidence both from the </w:t>
      </w:r>
      <w:r w:rsidRPr="00F31292">
        <w:rPr>
          <w:rFonts w:ascii="Times New Roman" w:hAnsi="Times New Roman" w:cs="Times New Roman"/>
          <w:i/>
          <w:iCs/>
        </w:rPr>
        <w:t>Treatise</w:t>
      </w:r>
      <w:r w:rsidRPr="00F31292">
        <w:rPr>
          <w:rFonts w:ascii="Times New Roman" w:hAnsi="Times New Roman" w:cs="Times New Roman"/>
        </w:rPr>
        <w:t xml:space="preserve"> and Hume’s later works that he endorses the negative commitment of the modern philosophy. I then offer an interpretation of the second phase of MP (§4). Against the standard reading, I show that Hume does not take the conclusion of his skeptical argument to be the negation of the modern philosophy’s core commitments but rather to be a dilemma faced by any account of body. Finally, I consider an argument from Hume’s first </w:t>
      </w:r>
      <w:r w:rsidRPr="00F31292">
        <w:rPr>
          <w:rFonts w:ascii="Times New Roman" w:hAnsi="Times New Roman" w:cs="Times New Roman"/>
          <w:i/>
          <w:iCs/>
        </w:rPr>
        <w:t>Enquiry</w:t>
      </w:r>
      <w:r w:rsidRPr="00F31292">
        <w:rPr>
          <w:rFonts w:ascii="Times New Roman" w:hAnsi="Times New Roman" w:cs="Times New Roman"/>
        </w:rPr>
        <w:t xml:space="preserve"> that is usually understood as a paraphrase of MP’s skeptical argument (§5). I show that the arguments differ in their premises and intended conclusions.</w:t>
      </w:r>
    </w:p>
    <w:p w14:paraId="4F1125B5" w14:textId="2C3E523D" w:rsidR="00F959A0" w:rsidRPr="00F959A0" w:rsidRDefault="00F959A0" w:rsidP="00F959A0">
      <w:pPr>
        <w:pStyle w:val="Heading1"/>
        <w:spacing w:before="240" w:after="120" w:line="480" w:lineRule="auto"/>
        <w:jc w:val="both"/>
        <w:rPr>
          <w:rFonts w:ascii="Times New Roman" w:hAnsi="Times New Roman" w:cs="Times New Roman"/>
          <w:color w:val="000000" w:themeColor="text1"/>
          <w:sz w:val="24"/>
          <w:szCs w:val="24"/>
        </w:rPr>
      </w:pPr>
      <w:bookmarkStart w:id="0" w:name="antecedents-of-humes-argument"/>
      <w:r w:rsidRPr="00F959A0">
        <w:rPr>
          <w:rFonts w:ascii="Times New Roman" w:hAnsi="Times New Roman" w:cs="Times New Roman"/>
          <w:color w:val="000000" w:themeColor="text1"/>
          <w:sz w:val="24"/>
          <w:szCs w:val="24"/>
        </w:rPr>
        <w:lastRenderedPageBreak/>
        <w:t>1. Antecedents</w:t>
      </w:r>
    </w:p>
    <w:p w14:paraId="6265A4E0" w14:textId="607FC2CF" w:rsidR="00F959A0" w:rsidRPr="00F31292" w:rsidRDefault="00F959A0" w:rsidP="00F959A0">
      <w:pPr>
        <w:pStyle w:val="FirstParagraph"/>
        <w:spacing w:before="0" w:after="0" w:line="480" w:lineRule="auto"/>
        <w:jc w:val="both"/>
        <w:rPr>
          <w:rFonts w:ascii="Times New Roman" w:hAnsi="Times New Roman" w:cs="Times New Roman"/>
        </w:rPr>
      </w:pPr>
      <w:r w:rsidRPr="00F31292">
        <w:rPr>
          <w:rFonts w:ascii="Times New Roman" w:hAnsi="Times New Roman" w:cs="Times New Roman"/>
        </w:rPr>
        <w:t>Many seventeenth-century authors agreed that there is a distinction between the primary qualities of a body and its secondary qualities. In the hands of Locke, this is the distinction between the real qualities of body and qualities that are merely “Powers to produce various Sensations in us” (</w:t>
      </w:r>
      <w:r w:rsidRPr="00F31292">
        <w:rPr>
          <w:rFonts w:ascii="Times New Roman" w:hAnsi="Times New Roman" w:cs="Times New Roman"/>
          <w:i/>
          <w:iCs/>
        </w:rPr>
        <w:t>E</w:t>
      </w:r>
      <w:r w:rsidRPr="00F31292">
        <w:rPr>
          <w:rFonts w:ascii="Times New Roman" w:hAnsi="Times New Roman" w:cs="Times New Roman"/>
        </w:rPr>
        <w:t xml:space="preserve"> II.viii.14).</w:t>
      </w:r>
      <w:r w:rsidRPr="00F31292">
        <w:rPr>
          <w:rStyle w:val="FootnoteReference"/>
          <w:rFonts w:ascii="Times New Roman" w:hAnsi="Times New Roman" w:cs="Times New Roman"/>
        </w:rPr>
        <w:footnoteReference w:id="8"/>
      </w:r>
      <w:r w:rsidRPr="00F31292">
        <w:rPr>
          <w:rFonts w:ascii="Times New Roman" w:hAnsi="Times New Roman" w:cs="Times New Roman"/>
        </w:rPr>
        <w:t xml:space="preserve"> Locke describes the chapter of the </w:t>
      </w:r>
      <w:r w:rsidRPr="00F31292">
        <w:rPr>
          <w:rFonts w:ascii="Times New Roman" w:hAnsi="Times New Roman" w:cs="Times New Roman"/>
          <w:i/>
          <w:iCs/>
        </w:rPr>
        <w:t>Essay</w:t>
      </w:r>
      <w:r w:rsidRPr="00F31292">
        <w:rPr>
          <w:rFonts w:ascii="Times New Roman" w:hAnsi="Times New Roman" w:cs="Times New Roman"/>
        </w:rPr>
        <w:t xml:space="preserve"> in which he draws the distinction as a “little Excursion into Natural Philosophy” (</w:t>
      </w:r>
      <w:r w:rsidRPr="00F31292">
        <w:rPr>
          <w:rFonts w:ascii="Times New Roman" w:hAnsi="Times New Roman" w:cs="Times New Roman"/>
          <w:i/>
          <w:iCs/>
        </w:rPr>
        <w:t>E</w:t>
      </w:r>
      <w:r>
        <w:rPr>
          <w:rFonts w:ascii="Times New Roman" w:hAnsi="Times New Roman" w:cs="Times New Roman"/>
        </w:rPr>
        <w:t xml:space="preserve"> </w:t>
      </w:r>
      <w:r w:rsidRPr="00F31292">
        <w:rPr>
          <w:rFonts w:ascii="Times New Roman" w:hAnsi="Times New Roman" w:cs="Times New Roman"/>
        </w:rPr>
        <w:t xml:space="preserve">II.viii.22). For philosophers with corpuscularian or mechanist sympathies, the distinction is a contribution to the foundations of natural philosophy. But in the late seventeenth century and early eighteenth century, the distinction is put to destructive purposes by authors including Bayle, Foucher, and Berkeley, according to whom it has epistemological, </w:t>
      </w:r>
      <w:r>
        <w:rPr>
          <w:rFonts w:ascii="Times New Roman" w:hAnsi="Times New Roman" w:cs="Times New Roman"/>
        </w:rPr>
        <w:t>conceptual</w:t>
      </w:r>
      <w:r w:rsidRPr="00F31292">
        <w:rPr>
          <w:rFonts w:ascii="Times New Roman" w:hAnsi="Times New Roman" w:cs="Times New Roman"/>
        </w:rPr>
        <w:t xml:space="preserve">, and </w:t>
      </w:r>
      <w:r>
        <w:rPr>
          <w:rFonts w:ascii="Times New Roman" w:hAnsi="Times New Roman" w:cs="Times New Roman"/>
        </w:rPr>
        <w:t xml:space="preserve">metaphysical </w:t>
      </w:r>
      <w:r w:rsidRPr="00F31292">
        <w:rPr>
          <w:rFonts w:ascii="Times New Roman" w:hAnsi="Times New Roman" w:cs="Times New Roman"/>
        </w:rPr>
        <w:t>consequences unanticipated by its earlier advocates.</w:t>
      </w:r>
    </w:p>
    <w:p w14:paraId="6021FF99" w14:textId="338F0EDD" w:rsidR="00F959A0" w:rsidRPr="00F31292" w:rsidRDefault="00F959A0" w:rsidP="00F959A0">
      <w:pPr>
        <w:pStyle w:val="FirstParagraph"/>
        <w:spacing w:before="0" w:after="0" w:line="480" w:lineRule="auto"/>
        <w:ind w:firstLine="480"/>
        <w:jc w:val="both"/>
        <w:rPr>
          <w:rFonts w:ascii="Times New Roman" w:hAnsi="Times New Roman" w:cs="Times New Roman"/>
        </w:rPr>
      </w:pPr>
      <w:r w:rsidRPr="00F31292">
        <w:rPr>
          <w:rFonts w:ascii="Times New Roman" w:hAnsi="Times New Roman" w:cs="Times New Roman"/>
        </w:rPr>
        <w:t xml:space="preserve">The nominal target of Foucher’s </w:t>
      </w:r>
      <w:r w:rsidRPr="00F31292">
        <w:rPr>
          <w:rFonts w:ascii="Times New Roman" w:hAnsi="Times New Roman" w:cs="Times New Roman"/>
          <w:i/>
          <w:iCs/>
        </w:rPr>
        <w:t>Critique</w:t>
      </w:r>
      <w:r w:rsidRPr="00F31292">
        <w:rPr>
          <w:rFonts w:ascii="Times New Roman" w:hAnsi="Times New Roman" w:cs="Times New Roman"/>
        </w:rPr>
        <w:t xml:space="preserve"> is Malebranche’s </w:t>
      </w:r>
      <w:r w:rsidRPr="00F31292">
        <w:rPr>
          <w:rFonts w:ascii="Times New Roman" w:hAnsi="Times New Roman" w:cs="Times New Roman"/>
          <w:i/>
          <w:iCs/>
        </w:rPr>
        <w:t>De la recherche de la verité</w:t>
      </w:r>
      <w:r w:rsidRPr="00F31292">
        <w:rPr>
          <w:rFonts w:ascii="Times New Roman" w:hAnsi="Times New Roman" w:cs="Times New Roman"/>
        </w:rPr>
        <w:t xml:space="preserve">. But the </w:t>
      </w:r>
      <w:r w:rsidRPr="00F31292">
        <w:rPr>
          <w:rFonts w:ascii="Times New Roman" w:hAnsi="Times New Roman" w:cs="Times New Roman"/>
          <w:i/>
          <w:iCs/>
        </w:rPr>
        <w:t>Critique</w:t>
      </w:r>
      <w:r w:rsidRPr="00F31292">
        <w:rPr>
          <w:rFonts w:ascii="Times New Roman" w:hAnsi="Times New Roman" w:cs="Times New Roman"/>
        </w:rPr>
        <w:t xml:space="preserve"> contains many arguments directed against Cartesianism in general, one of which, cited approvingly by Bayle in his article “Pyhrro,” concerns the distinction between primary and secondary qualities (“primary/secondary distinction”). Foucher begins with the claim that our perceptual acquaintance with extension occurs by means of the same process as that by which we are acquainted with secondary qualities. The primary/secondary distinction “grant[s] to extension the privilege that it is both in our soul and in external objects” (</w:t>
      </w:r>
      <w:r w:rsidRPr="00F31292">
        <w:rPr>
          <w:rFonts w:ascii="Times New Roman" w:hAnsi="Times New Roman" w:cs="Times New Roman"/>
          <w:i/>
          <w:iCs/>
        </w:rPr>
        <w:t>Critique</w:t>
      </w:r>
      <w:r w:rsidRPr="00F31292">
        <w:rPr>
          <w:rFonts w:ascii="Times New Roman" w:hAnsi="Times New Roman" w:cs="Times New Roman"/>
        </w:rPr>
        <w:t xml:space="preserve">, 38). But because our acquaintance with extension occurs in the same way as our acquaintance with colors, Foucher argues, we have no more reason for attributing double existence to extension than we do for </w:t>
      </w:r>
      <w:r w:rsidRPr="00F31292">
        <w:rPr>
          <w:rFonts w:ascii="Times New Roman" w:hAnsi="Times New Roman" w:cs="Times New Roman"/>
        </w:rPr>
        <w:lastRenderedPageBreak/>
        <w:t xml:space="preserve">attributing double existence to color. In the later </w:t>
      </w:r>
      <w:r w:rsidRPr="00F31292">
        <w:rPr>
          <w:rFonts w:ascii="Times New Roman" w:hAnsi="Times New Roman" w:cs="Times New Roman"/>
          <w:i/>
          <w:iCs/>
        </w:rPr>
        <w:t>Réponse pour la critique</w:t>
      </w:r>
      <w:r w:rsidRPr="00F31292">
        <w:rPr>
          <w:rFonts w:ascii="Times New Roman" w:hAnsi="Times New Roman" w:cs="Times New Roman"/>
        </w:rPr>
        <w:t>, Foucher says</w:t>
      </w:r>
      <w:r>
        <w:rPr>
          <w:rFonts w:ascii="Times New Roman" w:hAnsi="Times New Roman" w:cs="Times New Roman"/>
        </w:rPr>
        <w:t>,</w:t>
      </w:r>
      <w:r w:rsidRPr="00F31292">
        <w:rPr>
          <w:rFonts w:ascii="Times New Roman" w:hAnsi="Times New Roman" w:cs="Times New Roman"/>
        </w:rPr>
        <w:t xml:space="preserve"> “it seems to me that [Malebranche] should show how our senses do not deceive us with regard to extension, which they make us judge to be outside of ourselves; since he maintains that these same senses always deceive us when they make us believe that heat and colors exist outside of us” (</w:t>
      </w:r>
      <w:r w:rsidRPr="00F31292">
        <w:rPr>
          <w:rFonts w:ascii="Times New Roman" w:hAnsi="Times New Roman" w:cs="Times New Roman"/>
          <w:i/>
          <w:iCs/>
        </w:rPr>
        <w:t>Réponse</w:t>
      </w:r>
      <w:r w:rsidRPr="00F31292">
        <w:rPr>
          <w:rFonts w:ascii="Times New Roman" w:hAnsi="Times New Roman" w:cs="Times New Roman"/>
        </w:rPr>
        <w:t xml:space="preserve">, 113, my trans.). If one denies that colors </w:t>
      </w:r>
      <w:r>
        <w:rPr>
          <w:rFonts w:ascii="Times New Roman" w:hAnsi="Times New Roman" w:cs="Times New Roman"/>
        </w:rPr>
        <w:t xml:space="preserve">have external existence, </w:t>
      </w:r>
      <w:r w:rsidRPr="00F31292">
        <w:rPr>
          <w:rFonts w:ascii="Times New Roman" w:hAnsi="Times New Roman" w:cs="Times New Roman"/>
        </w:rPr>
        <w:t xml:space="preserve">then there is no epistemic justification for one’s attributing external existence to extension. </w:t>
      </w:r>
    </w:p>
    <w:p w14:paraId="427C9753" w14:textId="16E97972" w:rsidR="00F959A0" w:rsidRPr="00F31292" w:rsidRDefault="00F959A0" w:rsidP="00F959A0">
      <w:pPr>
        <w:pStyle w:val="FirstParagraph"/>
        <w:spacing w:before="0" w:after="0" w:line="480" w:lineRule="auto"/>
        <w:ind w:firstLine="480"/>
        <w:jc w:val="both"/>
        <w:rPr>
          <w:rFonts w:ascii="Times New Roman" w:hAnsi="Times New Roman" w:cs="Times New Roman"/>
        </w:rPr>
      </w:pPr>
      <w:r w:rsidRPr="00F31292">
        <w:rPr>
          <w:rFonts w:ascii="Times New Roman" w:hAnsi="Times New Roman" w:cs="Times New Roman"/>
        </w:rPr>
        <w:t xml:space="preserve">In “Zeno of Elea” of the </w:t>
      </w:r>
      <w:r w:rsidRPr="00F31292">
        <w:rPr>
          <w:rFonts w:ascii="Times New Roman" w:hAnsi="Times New Roman" w:cs="Times New Roman"/>
          <w:i/>
          <w:iCs/>
        </w:rPr>
        <w:t>Dictionnaire historique et critique</w:t>
      </w:r>
      <w:r w:rsidRPr="00F31292">
        <w:rPr>
          <w:rFonts w:ascii="Times New Roman" w:hAnsi="Times New Roman" w:cs="Times New Roman"/>
        </w:rPr>
        <w:t>, Bayle argues that extension exists “only in the mind” or “ideally” (</w:t>
      </w:r>
      <w:r w:rsidRPr="00F31292">
        <w:rPr>
          <w:rFonts w:ascii="Times New Roman" w:hAnsi="Times New Roman" w:cs="Times New Roman"/>
          <w:i/>
          <w:iCs/>
        </w:rPr>
        <w:t>DHC</w:t>
      </w:r>
      <w:r w:rsidRPr="00F31292">
        <w:rPr>
          <w:rFonts w:ascii="Times New Roman" w:hAnsi="Times New Roman" w:cs="Times New Roman"/>
        </w:rPr>
        <w:t xml:space="preserve"> 363).</w:t>
      </w:r>
      <w:r w:rsidRPr="00F31292">
        <w:rPr>
          <w:rStyle w:val="FootnoteReference"/>
          <w:rFonts w:ascii="Times New Roman" w:hAnsi="Times New Roman" w:cs="Times New Roman"/>
        </w:rPr>
        <w:footnoteReference w:id="9"/>
      </w:r>
      <w:r w:rsidRPr="00F31292">
        <w:rPr>
          <w:rFonts w:ascii="Times New Roman" w:hAnsi="Times New Roman" w:cs="Times New Roman"/>
        </w:rPr>
        <w:t xml:space="preserve"> Many of Bayle’s arguments target the coherence of the very idea of extension. But he deviates from this pattern in providing a skeptical argument that, like Foucher’s, undermines the justification of our attributing external existence to extension. The “new” philosophers, as Bayle understands them, hold that secondary qualities are “perceptions of </w:t>
      </w:r>
      <w:r>
        <w:rPr>
          <w:rFonts w:ascii="Times New Roman" w:hAnsi="Times New Roman" w:cs="Times New Roman"/>
        </w:rPr>
        <w:t>our</w:t>
      </w:r>
      <w:r w:rsidRPr="00F31292">
        <w:rPr>
          <w:rFonts w:ascii="Times New Roman" w:hAnsi="Times New Roman" w:cs="Times New Roman"/>
        </w:rPr>
        <w:t xml:space="preserve"> soul” that do not “exist at all in the objects of our senses” (</w:t>
      </w:r>
      <w:r w:rsidRPr="00F31292">
        <w:rPr>
          <w:rFonts w:ascii="Times New Roman" w:hAnsi="Times New Roman" w:cs="Times New Roman"/>
          <w:i/>
          <w:iCs/>
        </w:rPr>
        <w:t>DHC</w:t>
      </w:r>
      <w:r w:rsidRPr="00F31292">
        <w:rPr>
          <w:rFonts w:ascii="Times New Roman" w:hAnsi="Times New Roman" w:cs="Times New Roman"/>
        </w:rPr>
        <w:t xml:space="preserve"> 365). Bayle portrays the primary/secondary distinction as being motivated by the perceptual relativity of secondary qualities: because “the same bodies are sweet to some men and bitter to others, one is right in inferring that they are neither sweet nor bitter in themselves” (</w:t>
      </w:r>
      <w:r w:rsidRPr="00F31292">
        <w:rPr>
          <w:rFonts w:ascii="Times New Roman" w:hAnsi="Times New Roman" w:cs="Times New Roman"/>
          <w:i/>
          <w:iCs/>
        </w:rPr>
        <w:t>DHC</w:t>
      </w:r>
      <w:r w:rsidRPr="00F31292">
        <w:rPr>
          <w:rFonts w:ascii="Times New Roman" w:hAnsi="Times New Roman" w:cs="Times New Roman"/>
        </w:rPr>
        <w:t xml:space="preserve"> 36</w:t>
      </w:r>
      <w:r>
        <w:rPr>
          <w:rFonts w:ascii="Times New Roman" w:hAnsi="Times New Roman" w:cs="Times New Roman"/>
        </w:rPr>
        <w:t>4</w:t>
      </w:r>
      <w:r w:rsidRPr="00F31292">
        <w:rPr>
          <w:rFonts w:ascii="Times New Roman" w:hAnsi="Times New Roman" w:cs="Times New Roman"/>
        </w:rPr>
        <w:t>). He argues that the new philosophers should accept the same position with respect to primary qualities, because the primary qualities of bodies exhibit perceptual relativity comparable to that exhibited by secondary qualities:</w:t>
      </w:r>
    </w:p>
    <w:p w14:paraId="40C63626" w14:textId="1D933778" w:rsidR="00F959A0" w:rsidRPr="00F31292" w:rsidRDefault="00F959A0" w:rsidP="00F959A0">
      <w:pPr>
        <w:pStyle w:val="BlockText"/>
        <w:spacing w:before="240" w:after="480" w:line="480" w:lineRule="auto"/>
        <w:ind w:left="720" w:right="0"/>
        <w:jc w:val="both"/>
        <w:rPr>
          <w:rFonts w:ascii="Times New Roman" w:hAnsi="Times New Roman" w:cs="Times New Roman"/>
        </w:rPr>
      </w:pPr>
      <w:r w:rsidRPr="00F31292">
        <w:rPr>
          <w:rFonts w:ascii="Times New Roman" w:hAnsi="Times New Roman" w:cs="Times New Roman"/>
        </w:rPr>
        <w:t xml:space="preserve">And notice carefully that the same body appears to us to be small or large, round or square, according to the place from which it is viewed; and let us have no doubts that a body that </w:t>
      </w:r>
      <w:r w:rsidRPr="00F31292">
        <w:rPr>
          <w:rFonts w:ascii="Times New Roman" w:hAnsi="Times New Roman" w:cs="Times New Roman"/>
        </w:rPr>
        <w:lastRenderedPageBreak/>
        <w:t>seems very small to us appears very large to a fly. It is not then by their own real or absolute extension that bodies present themselves to our minds. We can therefore conclude that they are not extended in themselves. (</w:t>
      </w:r>
      <w:r w:rsidRPr="00F31292">
        <w:rPr>
          <w:rFonts w:ascii="Times New Roman" w:hAnsi="Times New Roman" w:cs="Times New Roman"/>
          <w:i/>
          <w:iCs/>
        </w:rPr>
        <w:t xml:space="preserve">DHC </w:t>
      </w:r>
      <w:r w:rsidRPr="00F31292">
        <w:rPr>
          <w:rFonts w:ascii="Times New Roman" w:hAnsi="Times New Roman" w:cs="Times New Roman"/>
        </w:rPr>
        <w:t>365)</w:t>
      </w:r>
    </w:p>
    <w:p w14:paraId="1F49587D" w14:textId="5337BA0F" w:rsidR="00F959A0" w:rsidRPr="00F31292" w:rsidRDefault="00F959A0" w:rsidP="00F959A0">
      <w:pPr>
        <w:pStyle w:val="FirstParagraph"/>
        <w:spacing w:before="0" w:after="0" w:line="480" w:lineRule="auto"/>
        <w:jc w:val="both"/>
        <w:rPr>
          <w:rFonts w:ascii="Times New Roman" w:hAnsi="Times New Roman" w:cs="Times New Roman"/>
        </w:rPr>
      </w:pPr>
      <w:r w:rsidRPr="00F31292">
        <w:rPr>
          <w:rFonts w:ascii="Times New Roman" w:hAnsi="Times New Roman" w:cs="Times New Roman"/>
        </w:rPr>
        <w:t xml:space="preserve">If the new philosophers conclude from the perceptual relativity of secondary qualities that such qualities are mere </w:t>
      </w:r>
      <w:r>
        <w:rPr>
          <w:rFonts w:ascii="Times New Roman" w:hAnsi="Times New Roman" w:cs="Times New Roman"/>
        </w:rPr>
        <w:t>perceptions,</w:t>
      </w:r>
      <w:r w:rsidRPr="00F31292">
        <w:rPr>
          <w:rFonts w:ascii="Times New Roman" w:hAnsi="Times New Roman" w:cs="Times New Roman"/>
        </w:rPr>
        <w:t xml:space="preserve"> then, Bayle argues, they should extend this conclusion to extension.</w:t>
      </w:r>
      <w:r w:rsidRPr="00F31292">
        <w:rPr>
          <w:rStyle w:val="FootnoteReference"/>
          <w:rFonts w:ascii="Times New Roman" w:hAnsi="Times New Roman" w:cs="Times New Roman"/>
        </w:rPr>
        <w:footnoteReference w:id="10"/>
      </w:r>
      <w:r w:rsidRPr="00F31292">
        <w:rPr>
          <w:rFonts w:ascii="Times New Roman" w:hAnsi="Times New Roman" w:cs="Times New Roman"/>
        </w:rPr>
        <w:t xml:space="preserve"> Bayle and Foucher take the distinction between primary and secondary qualities to imply epistemological skepticism about extension and its modifications. </w:t>
      </w:r>
    </w:p>
    <w:p w14:paraId="285F67A9" w14:textId="56512969"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Some of Berkeley’s arguments concerning the primary/secondary distinction establish a similar conclusion. But he departs from Foucher and Bayle in also providing arguments concerning the distinction with conceptual and metaphysical conclusions. In the first </w:t>
      </w:r>
      <w:r w:rsidRPr="00F31292">
        <w:rPr>
          <w:rFonts w:ascii="Times New Roman" w:hAnsi="Times New Roman" w:cs="Times New Roman"/>
          <w:i/>
          <w:iCs/>
        </w:rPr>
        <w:t>Dialogue</w:t>
      </w:r>
      <w:r w:rsidRPr="00F31292">
        <w:rPr>
          <w:rFonts w:ascii="Times New Roman" w:hAnsi="Times New Roman" w:cs="Times New Roman"/>
        </w:rPr>
        <w:t>, Hylas defends a version of the primary/secondary distinction: whereas primary qualities are those which “exist really in bodies,” secondary qualities are “only so many sensations or ideas existing nowhere but in the mind” (</w:t>
      </w:r>
      <w:r w:rsidRPr="00F31292">
        <w:rPr>
          <w:rFonts w:ascii="Times New Roman" w:hAnsi="Times New Roman" w:cs="Times New Roman"/>
          <w:i/>
          <w:iCs/>
        </w:rPr>
        <w:t>DHP</w:t>
      </w:r>
      <w:r w:rsidRPr="00F31292">
        <w:rPr>
          <w:rFonts w:ascii="Times New Roman" w:hAnsi="Times New Roman" w:cs="Times New Roman"/>
        </w:rPr>
        <w:t xml:space="preserve"> 188).</w:t>
      </w:r>
      <w:r w:rsidRPr="00F31292">
        <w:rPr>
          <w:rStyle w:val="FootnoteReference"/>
          <w:rFonts w:ascii="Times New Roman" w:hAnsi="Times New Roman" w:cs="Times New Roman"/>
        </w:rPr>
        <w:footnoteReference w:id="11"/>
      </w:r>
      <w:r w:rsidRPr="00F31292">
        <w:rPr>
          <w:rFonts w:ascii="Times New Roman" w:hAnsi="Times New Roman" w:cs="Times New Roman"/>
        </w:rPr>
        <w:t xml:space="preserve"> Philonous poses a challenge to Hylas</w:t>
      </w:r>
      <w:r>
        <w:rPr>
          <w:rFonts w:ascii="Times New Roman" w:hAnsi="Times New Roman" w:cs="Times New Roman"/>
        </w:rPr>
        <w:t>,</w:t>
      </w:r>
      <w:r w:rsidRPr="00F31292">
        <w:rPr>
          <w:rFonts w:ascii="Times New Roman" w:hAnsi="Times New Roman" w:cs="Times New Roman"/>
        </w:rPr>
        <w:t xml:space="preserve"> “Can you even separate the ideas of extension and motion from the ideas of all those qualities, which they who make the distinction term ‘secondary</w:t>
      </w:r>
      <w:r>
        <w:rPr>
          <w:rFonts w:ascii="Times New Roman" w:hAnsi="Times New Roman" w:cs="Times New Roman"/>
        </w:rPr>
        <w:t>.</w:t>
      </w:r>
      <w:r w:rsidRPr="00F31292">
        <w:rPr>
          <w:rFonts w:ascii="Times New Roman" w:hAnsi="Times New Roman" w:cs="Times New Roman"/>
        </w:rPr>
        <w:t>’” (</w:t>
      </w:r>
      <w:r w:rsidRPr="00F31292">
        <w:rPr>
          <w:rFonts w:ascii="Times New Roman" w:hAnsi="Times New Roman" w:cs="Times New Roman"/>
          <w:i/>
          <w:iCs/>
        </w:rPr>
        <w:t>DHP</w:t>
      </w:r>
      <w:r w:rsidRPr="00F31292">
        <w:rPr>
          <w:rFonts w:ascii="Times New Roman" w:hAnsi="Times New Roman" w:cs="Times New Roman"/>
        </w:rPr>
        <w:t xml:space="preserve"> 193). Because Hylas holds that bodies have primary qualities but lack secondary qualities, he is committed to the position that bodies are conceivable only if they can be conceived of as possessing primary qualities but lacking secondary qualities. But such a </w:t>
      </w:r>
      <w:r w:rsidRPr="00F31292">
        <w:rPr>
          <w:rFonts w:ascii="Times New Roman" w:hAnsi="Times New Roman" w:cs="Times New Roman"/>
        </w:rPr>
        <w:lastRenderedPageBreak/>
        <w:t>conception of body, Philonous argues, would require a cognitive capacity that we do not possess: the capacity for abstracting ideas of primary qualities from ideas of secondary qualities (</w:t>
      </w:r>
      <w:r w:rsidRPr="00F31292">
        <w:rPr>
          <w:rFonts w:ascii="Times New Roman" w:hAnsi="Times New Roman" w:cs="Times New Roman"/>
          <w:i/>
          <w:iCs/>
        </w:rPr>
        <w:t>DHP</w:t>
      </w:r>
      <w:r w:rsidRPr="00F31292">
        <w:rPr>
          <w:rFonts w:ascii="Times New Roman" w:hAnsi="Times New Roman" w:cs="Times New Roman"/>
        </w:rPr>
        <w:t xml:space="preserve"> 193). The argument’s conclusion is conceptual: if bodies are understood as having primary qualities but lacking secondary qualities, then bodies are inconceivable.</w:t>
      </w:r>
      <w:r w:rsidRPr="00F31292">
        <w:rPr>
          <w:rFonts w:ascii="Times New Roman" w:hAnsi="Times New Roman" w:cs="Times New Roman"/>
        </w:rPr>
        <w:tab/>
      </w:r>
    </w:p>
    <w:p w14:paraId="0F183855" w14:textId="3F8B1AB8"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Berkeley takes this conceptual conclusion to have a metaphysical implication. Philonous’s argument entails that body, as understood by Hylas, “implies a repugnancy in its conception” (</w:t>
      </w:r>
      <w:r w:rsidRPr="00F31292">
        <w:rPr>
          <w:rFonts w:ascii="Times New Roman" w:hAnsi="Times New Roman" w:cs="Times New Roman"/>
          <w:i/>
          <w:iCs/>
        </w:rPr>
        <w:t>DHP</w:t>
      </w:r>
      <w:r w:rsidRPr="00F31292">
        <w:rPr>
          <w:rFonts w:ascii="Times New Roman" w:hAnsi="Times New Roman" w:cs="Times New Roman"/>
        </w:rPr>
        <w:t xml:space="preserve"> 194). In Philonous’s view, body as understood by Hylas is inconceivable; it is “repugnant” that there should be a conception of body so understood. Philonous proceeds to introduce what Holden calls Berkeley’s </w:t>
      </w:r>
      <w:r w:rsidRPr="00F31292">
        <w:rPr>
          <w:rFonts w:ascii="Times New Roman" w:hAnsi="Times New Roman" w:cs="Times New Roman"/>
          <w:i/>
          <w:iCs/>
        </w:rPr>
        <w:t>inconceivability principle</w:t>
      </w:r>
      <w:r w:rsidRPr="00F31292">
        <w:rPr>
          <w:rFonts w:ascii="Times New Roman" w:hAnsi="Times New Roman" w:cs="Times New Roman"/>
        </w:rPr>
        <w:t>: “And can you think it possible, that should really exist in nature, which implies a repugnancy in its conception?” (</w:t>
      </w:r>
      <w:r w:rsidRPr="00F31292">
        <w:rPr>
          <w:rFonts w:ascii="Times New Roman" w:hAnsi="Times New Roman" w:cs="Times New Roman"/>
          <w:i/>
          <w:iCs/>
        </w:rPr>
        <w:t>DHP</w:t>
      </w:r>
      <w:r w:rsidRPr="00F31292">
        <w:rPr>
          <w:rFonts w:ascii="Times New Roman" w:hAnsi="Times New Roman" w:cs="Times New Roman"/>
        </w:rPr>
        <w:t xml:space="preserve"> 194).</w:t>
      </w:r>
      <w:r w:rsidRPr="00F31292">
        <w:rPr>
          <w:rStyle w:val="FootnoteReference"/>
          <w:rFonts w:ascii="Times New Roman" w:hAnsi="Times New Roman" w:cs="Times New Roman"/>
        </w:rPr>
        <w:footnoteReference w:id="12"/>
      </w:r>
      <w:r w:rsidRPr="00F31292">
        <w:rPr>
          <w:rFonts w:ascii="Times New Roman" w:hAnsi="Times New Roman" w:cs="Times New Roman"/>
        </w:rPr>
        <w:t xml:space="preserve"> If primary qualities cannot be separated from secondary qualities in thought, then it is impossible that they should exist separately.</w:t>
      </w:r>
      <w:r w:rsidRPr="00F31292">
        <w:rPr>
          <w:rStyle w:val="FootnoteReference"/>
          <w:rFonts w:ascii="Times New Roman" w:hAnsi="Times New Roman" w:cs="Times New Roman"/>
        </w:rPr>
        <w:footnoteReference w:id="13"/>
      </w:r>
      <w:r w:rsidRPr="00F31292">
        <w:rPr>
          <w:rFonts w:ascii="Times New Roman" w:hAnsi="Times New Roman" w:cs="Times New Roman"/>
        </w:rPr>
        <w:t xml:space="preserve"> Philonous’s conceptual conclusion about body, as understood by Hylas, implies that it does not exist. Berkeley’s discussion of the primary/secondary distinction, then, departs from Bayle’s and Foucher’s in aiming to establish a metaphysical conclusion about body.</w:t>
      </w:r>
    </w:p>
    <w:p w14:paraId="1D65E883" w14:textId="7CCAA3D3" w:rsidR="00F959A0" w:rsidRPr="00F959A0" w:rsidRDefault="00F959A0" w:rsidP="00F959A0">
      <w:pPr>
        <w:pStyle w:val="Heading1"/>
        <w:spacing w:before="240" w:after="120" w:line="480" w:lineRule="auto"/>
        <w:jc w:val="both"/>
        <w:rPr>
          <w:rFonts w:ascii="Times New Roman" w:hAnsi="Times New Roman" w:cs="Times New Roman"/>
          <w:color w:val="000000" w:themeColor="text1"/>
          <w:sz w:val="24"/>
          <w:szCs w:val="24"/>
        </w:rPr>
      </w:pPr>
      <w:bookmarkStart w:id="1" w:name="hume-on-body"/>
      <w:bookmarkEnd w:id="0"/>
      <w:r w:rsidRPr="00F959A0">
        <w:rPr>
          <w:rFonts w:ascii="Times New Roman" w:hAnsi="Times New Roman" w:cs="Times New Roman"/>
          <w:color w:val="000000" w:themeColor="text1"/>
          <w:sz w:val="24"/>
          <w:szCs w:val="24"/>
        </w:rPr>
        <w:t>2. Hume on Body</w:t>
      </w:r>
    </w:p>
    <w:p w14:paraId="1CFDC66B" w14:textId="6F4989A9" w:rsidR="00F959A0" w:rsidRPr="00F31292" w:rsidRDefault="00F959A0" w:rsidP="00F959A0">
      <w:pPr>
        <w:pStyle w:val="FirstParagraph"/>
        <w:spacing w:before="0" w:after="0" w:line="480" w:lineRule="auto"/>
        <w:jc w:val="both"/>
        <w:rPr>
          <w:rFonts w:ascii="Times New Roman" w:hAnsi="Times New Roman" w:cs="Times New Roman"/>
        </w:rPr>
      </w:pPr>
      <w:r w:rsidRPr="00F31292">
        <w:rPr>
          <w:rFonts w:ascii="Times New Roman" w:hAnsi="Times New Roman" w:cs="Times New Roman"/>
        </w:rPr>
        <w:t xml:space="preserve">We will see that Hume’s argument in MP differs in significant respects from those of Foucher, Bayle, and Berkeley. The argument presupposes the account of body for which Hume argues in preceding sections of the </w:t>
      </w:r>
      <w:r w:rsidRPr="00F31292">
        <w:rPr>
          <w:rFonts w:ascii="Times New Roman" w:hAnsi="Times New Roman" w:cs="Times New Roman"/>
          <w:i/>
          <w:iCs/>
        </w:rPr>
        <w:t>Treatise</w:t>
      </w:r>
      <w:r w:rsidRPr="00F31292">
        <w:rPr>
          <w:rFonts w:ascii="Times New Roman" w:hAnsi="Times New Roman" w:cs="Times New Roman"/>
        </w:rPr>
        <w:t xml:space="preserve">. The “most judicious philosophers” hold that “our ideas of bodies are nothing but collections form’d by the mind of the ideas of the several distinct sensible </w:t>
      </w:r>
      <w:r w:rsidRPr="00F31292">
        <w:rPr>
          <w:rFonts w:ascii="Times New Roman" w:hAnsi="Times New Roman" w:cs="Times New Roman"/>
        </w:rPr>
        <w:lastRenderedPageBreak/>
        <w:t>qualities, of which objects are compos’d, and which we find to have a constant union with each other” (</w:t>
      </w:r>
      <w:r w:rsidRPr="00F31292">
        <w:rPr>
          <w:rFonts w:ascii="Times New Roman" w:hAnsi="Times New Roman" w:cs="Times New Roman"/>
          <w:i/>
          <w:iCs/>
        </w:rPr>
        <w:t>T</w:t>
      </w:r>
      <w:r w:rsidRPr="00F31292">
        <w:rPr>
          <w:rFonts w:ascii="Times New Roman" w:hAnsi="Times New Roman" w:cs="Times New Roman"/>
        </w:rPr>
        <w:t xml:space="preserve"> 1.4.3.2). The idea of a body is a complex idea of a collection of sensible qualities. Further, Hume begins </w:t>
      </w:r>
      <w:r w:rsidRPr="00F31292">
        <w:rPr>
          <w:rFonts w:ascii="Times New Roman" w:hAnsi="Times New Roman" w:cs="Times New Roman"/>
          <w:i/>
          <w:iCs/>
        </w:rPr>
        <w:t>T</w:t>
      </w:r>
      <w:r w:rsidRPr="00F31292">
        <w:rPr>
          <w:rFonts w:ascii="Times New Roman" w:hAnsi="Times New Roman" w:cs="Times New Roman"/>
        </w:rPr>
        <w:t xml:space="preserve"> 1.4.2, “Of scepticism with regard to the senses,” with a question: “What causes induce us to believe in the existence of body?” (</w:t>
      </w:r>
      <w:r w:rsidRPr="00F31292">
        <w:rPr>
          <w:rFonts w:ascii="Times New Roman" w:hAnsi="Times New Roman" w:cs="Times New Roman"/>
          <w:i/>
          <w:iCs/>
        </w:rPr>
        <w:t>T</w:t>
      </w:r>
      <w:r w:rsidRPr="00F31292">
        <w:rPr>
          <w:rFonts w:ascii="Times New Roman" w:hAnsi="Times New Roman" w:cs="Times New Roman"/>
        </w:rPr>
        <w:t xml:space="preserve"> 1.4.2.2). He holds that this question reduces to two others: “why we attribute a </w:t>
      </w:r>
      <w:r w:rsidRPr="00F31292">
        <w:rPr>
          <w:rFonts w:ascii="Times New Roman" w:hAnsi="Times New Roman" w:cs="Times New Roman"/>
          <w:smallCaps/>
        </w:rPr>
        <w:t>continu’d</w:t>
      </w:r>
      <w:r w:rsidRPr="00F31292">
        <w:rPr>
          <w:rFonts w:ascii="Times New Roman" w:hAnsi="Times New Roman" w:cs="Times New Roman"/>
        </w:rPr>
        <w:t xml:space="preserve"> existence to objects, even when they are not present to the senses; and why we suppose them to have an existence </w:t>
      </w:r>
      <w:r w:rsidRPr="00F31292">
        <w:rPr>
          <w:rFonts w:ascii="Times New Roman" w:hAnsi="Times New Roman" w:cs="Times New Roman"/>
          <w:smallCaps/>
        </w:rPr>
        <w:t>distinct</w:t>
      </w:r>
      <w:r w:rsidRPr="00F31292">
        <w:rPr>
          <w:rFonts w:ascii="Times New Roman" w:hAnsi="Times New Roman" w:cs="Times New Roman"/>
        </w:rPr>
        <w:t xml:space="preserve"> from the mind and perception?” (</w:t>
      </w:r>
      <w:r w:rsidRPr="00F31292">
        <w:rPr>
          <w:rFonts w:ascii="Times New Roman" w:hAnsi="Times New Roman" w:cs="Times New Roman"/>
          <w:i/>
          <w:iCs/>
        </w:rPr>
        <w:t>T</w:t>
      </w:r>
      <w:r w:rsidRPr="00F31292">
        <w:rPr>
          <w:rFonts w:ascii="Times New Roman" w:hAnsi="Times New Roman" w:cs="Times New Roman"/>
        </w:rPr>
        <w:t xml:space="preserve"> 1.4.2.2). </w:t>
      </w:r>
      <w:r w:rsidRPr="00F31292">
        <w:rPr>
          <w:rFonts w:ascii="Times New Roman" w:hAnsi="Times New Roman" w:cs="Times New Roman"/>
          <w:i/>
          <w:iCs/>
        </w:rPr>
        <w:t>x</w:t>
      </w:r>
      <w:r w:rsidRPr="00F31292">
        <w:rPr>
          <w:rFonts w:ascii="Times New Roman" w:hAnsi="Times New Roman" w:cs="Times New Roman"/>
        </w:rPr>
        <w:t xml:space="preserve"> is a body only if </w:t>
      </w:r>
      <w:r w:rsidRPr="00F31292">
        <w:rPr>
          <w:rFonts w:ascii="Times New Roman" w:hAnsi="Times New Roman" w:cs="Times New Roman"/>
          <w:i/>
          <w:iCs/>
        </w:rPr>
        <w:t>x</w:t>
      </w:r>
      <w:r w:rsidRPr="00F31292">
        <w:rPr>
          <w:rFonts w:ascii="Times New Roman" w:hAnsi="Times New Roman" w:cs="Times New Roman"/>
        </w:rPr>
        <w:t xml:space="preserve"> enjoys continued and distinct existence. Th</w:t>
      </w:r>
      <w:r>
        <w:rPr>
          <w:rFonts w:ascii="Times New Roman" w:hAnsi="Times New Roman" w:cs="Times New Roman"/>
        </w:rPr>
        <w:t>e</w:t>
      </w:r>
      <w:r w:rsidRPr="00F31292">
        <w:rPr>
          <w:rFonts w:ascii="Times New Roman" w:hAnsi="Times New Roman" w:cs="Times New Roman"/>
        </w:rPr>
        <w:t xml:space="preserve"> idea of body is the idea of a collection of sensible qualities that enjoy continued and distinct existence.</w:t>
      </w:r>
    </w:p>
    <w:p w14:paraId="26FA74E7" w14:textId="1BA6CAC9"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Another component of Hume’s account of body is introduced in Part 2 of Book 1 of the </w:t>
      </w:r>
      <w:r w:rsidRPr="00F31292">
        <w:rPr>
          <w:rFonts w:ascii="Times New Roman" w:hAnsi="Times New Roman" w:cs="Times New Roman"/>
          <w:i/>
          <w:iCs/>
        </w:rPr>
        <w:t xml:space="preserve">Treatise, </w:t>
      </w:r>
      <w:r w:rsidRPr="00F31292">
        <w:rPr>
          <w:rFonts w:ascii="Times New Roman" w:hAnsi="Times New Roman" w:cs="Times New Roman"/>
        </w:rPr>
        <w:t>where Hume argues for three theses with respect to extension. First, perceptions of extension are not infinitely divisible but rather are constituted by simple impressions or ideas: impressions and ideas that do not have perceptions as proper parts. Second, extension, as we conceive of it, is not infinitely divisible but rather is constituted by indivisible parts. Third, we cannot achieve a perception of a vacuum, understood as “space, where there is nothing visible or tangible” (</w:t>
      </w:r>
      <w:r w:rsidRPr="00F31292">
        <w:rPr>
          <w:rFonts w:ascii="Times New Roman" w:hAnsi="Times New Roman" w:cs="Times New Roman"/>
          <w:i/>
          <w:iCs/>
        </w:rPr>
        <w:t>T</w:t>
      </w:r>
      <w:r w:rsidRPr="00F31292">
        <w:rPr>
          <w:rFonts w:ascii="Times New Roman" w:hAnsi="Times New Roman" w:cs="Times New Roman"/>
        </w:rPr>
        <w:t xml:space="preserve"> 1.2.5.1). While Hume’s nominal topic in </w:t>
      </w:r>
      <w:r w:rsidRPr="00F31292">
        <w:rPr>
          <w:rFonts w:ascii="Times New Roman" w:hAnsi="Times New Roman" w:cs="Times New Roman"/>
          <w:i/>
          <w:iCs/>
        </w:rPr>
        <w:t>T</w:t>
      </w:r>
      <w:r w:rsidRPr="00F31292">
        <w:rPr>
          <w:rFonts w:ascii="Times New Roman" w:hAnsi="Times New Roman" w:cs="Times New Roman"/>
        </w:rPr>
        <w:t xml:space="preserve"> 1.2 is extension, the account he provides implies conditions on the conception of body.</w:t>
      </w:r>
    </w:p>
    <w:p w14:paraId="4AC15F94" w14:textId="6E9B34FF"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In “Zeno of Elea,” Bayle asserts a trilemma: extension, if it exists, is either (i) infinitely divisible, (ii) constituted by physical points, or (iii) constituted by mathematical points. Hume follows Bayle in rejecting (i), beginning his discussion with arguments against both the infinite divisibility of our idea of extension and the infinite divisibility of extension as we conceive of it. With respect to the latter, borrowing from Nicolas de Malézieu, he claims that “existence in itself belongs only to unity” and therefore that it is “utterly absurd to suppose any number to exist, and yet deny the existence of unites” (</w:t>
      </w:r>
      <w:r w:rsidRPr="00F31292">
        <w:rPr>
          <w:rFonts w:ascii="Times New Roman" w:hAnsi="Times New Roman" w:cs="Times New Roman"/>
          <w:i/>
          <w:iCs/>
        </w:rPr>
        <w:t>T</w:t>
      </w:r>
      <w:r w:rsidRPr="00F31292">
        <w:rPr>
          <w:rFonts w:ascii="Times New Roman" w:hAnsi="Times New Roman" w:cs="Times New Roman"/>
        </w:rPr>
        <w:t xml:space="preserve"> 1.2.2.3). Were extension infinitely divisible, extension would </w:t>
      </w:r>
      <w:r w:rsidRPr="00F31292">
        <w:rPr>
          <w:rFonts w:ascii="Times New Roman" w:hAnsi="Times New Roman" w:cs="Times New Roman"/>
        </w:rPr>
        <w:lastRenderedPageBreak/>
        <w:t>not be constituted by true unities, and its existence would be inconsistent with these principles. Hume also follows Bayle in rejecting (ii) and (iii), as the latter understands them. Were extension constituted by physical points, it would be constituted by parts that are extended but indivisible. Hume argues that a part of extension is indivisible only if it is not extended: “A real extension, such as a physical point is suppos’d to be, can never exist without parts, different from each other; and wherever objects are different, they are distinguishable and separable by the imagination” (</w:t>
      </w:r>
      <w:r w:rsidRPr="00F31292">
        <w:rPr>
          <w:rFonts w:ascii="Times New Roman" w:hAnsi="Times New Roman" w:cs="Times New Roman"/>
          <w:i/>
          <w:iCs/>
        </w:rPr>
        <w:t>T</w:t>
      </w:r>
      <w:r w:rsidRPr="00F31292">
        <w:rPr>
          <w:rFonts w:ascii="Times New Roman" w:hAnsi="Times New Roman" w:cs="Times New Roman"/>
        </w:rPr>
        <w:t xml:space="preserve"> 1.2.4.3). Were extension constituted by mathematical points, it would be constituted by parts that are indivisible and unextended. Bayle argues against mathematical points on the assumption that such points are non-entities: “persons of the slightest depth can comprehend with complete certainty, if they give the matter a little attention, that several nonentities of extension joined together will never make up an extension” (</w:t>
      </w:r>
      <w:r w:rsidRPr="00F31292">
        <w:rPr>
          <w:rFonts w:ascii="Times New Roman" w:hAnsi="Times New Roman" w:cs="Times New Roman"/>
          <w:i/>
          <w:iCs/>
        </w:rPr>
        <w:t>DHC</w:t>
      </w:r>
      <w:r w:rsidRPr="00F31292">
        <w:rPr>
          <w:rFonts w:ascii="Times New Roman" w:hAnsi="Times New Roman" w:cs="Times New Roman"/>
        </w:rPr>
        <w:t xml:space="preserve"> 359</w:t>
      </w:r>
      <w:r>
        <w:rPr>
          <w:rFonts w:ascii="Times New Roman" w:hAnsi="Times New Roman" w:cs="Times New Roman"/>
        </w:rPr>
        <w:t>–</w:t>
      </w:r>
      <w:r w:rsidRPr="00F31292">
        <w:rPr>
          <w:rFonts w:ascii="Times New Roman" w:hAnsi="Times New Roman" w:cs="Times New Roman"/>
        </w:rPr>
        <w:t>60). Assuming that Bayle’s characterization of mathematical points as non-entities is correct, Hume accepts this argument (</w:t>
      </w:r>
      <w:r w:rsidRPr="00F31292">
        <w:rPr>
          <w:rFonts w:ascii="Times New Roman" w:hAnsi="Times New Roman" w:cs="Times New Roman"/>
          <w:i/>
          <w:iCs/>
        </w:rPr>
        <w:t>T</w:t>
      </w:r>
      <w:r w:rsidRPr="00F31292">
        <w:rPr>
          <w:rFonts w:ascii="Times New Roman" w:hAnsi="Times New Roman" w:cs="Times New Roman"/>
        </w:rPr>
        <w:t xml:space="preserve"> 1.2.4.3).</w:t>
      </w:r>
      <w:r w:rsidRPr="00F31292">
        <w:rPr>
          <w:rStyle w:val="FootnoteReference"/>
          <w:rFonts w:ascii="Times New Roman" w:hAnsi="Times New Roman" w:cs="Times New Roman"/>
        </w:rPr>
        <w:footnoteReference w:id="14"/>
      </w:r>
    </w:p>
    <w:p w14:paraId="01315EB9" w14:textId="6BE893E9"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Hume does not take these arguments to establish that extension is unintelligible. In his view, extension is constituted by points that, like mathematical points, are unextended and indivisible (</w:t>
      </w:r>
      <w:r w:rsidRPr="00F31292">
        <w:rPr>
          <w:rFonts w:ascii="Times New Roman" w:hAnsi="Times New Roman" w:cs="Times New Roman"/>
          <w:i/>
          <w:iCs/>
        </w:rPr>
        <w:t>T</w:t>
      </w:r>
      <w:r w:rsidRPr="00F31292">
        <w:rPr>
          <w:rFonts w:ascii="Times New Roman" w:hAnsi="Times New Roman" w:cs="Times New Roman"/>
        </w:rPr>
        <w:t xml:space="preserve"> 1.2.3.15). Unlike Bayle’s mathematical points, Hume’s points are not non-entities but are “fill’d with something real and existent” (</w:t>
      </w:r>
      <w:r w:rsidRPr="00F31292">
        <w:rPr>
          <w:rFonts w:ascii="Times New Roman" w:hAnsi="Times New Roman" w:cs="Times New Roman"/>
          <w:i/>
          <w:iCs/>
        </w:rPr>
        <w:t>T</w:t>
      </w:r>
      <w:r w:rsidRPr="00F31292">
        <w:rPr>
          <w:rFonts w:ascii="Times New Roman" w:hAnsi="Times New Roman" w:cs="Times New Roman"/>
        </w:rPr>
        <w:t xml:space="preserve"> 1.2.4.2). They are filled with </w:t>
      </w:r>
      <w:r w:rsidRPr="00F31292">
        <w:rPr>
          <w:rFonts w:ascii="Times New Roman" w:hAnsi="Times New Roman" w:cs="Times New Roman"/>
          <w:i/>
          <w:iCs/>
        </w:rPr>
        <w:t>color</w:t>
      </w:r>
      <w:r w:rsidRPr="00F31292">
        <w:rPr>
          <w:rFonts w:ascii="Times New Roman" w:hAnsi="Times New Roman" w:cs="Times New Roman"/>
        </w:rPr>
        <w:t xml:space="preserve"> and </w:t>
      </w:r>
      <w:r w:rsidRPr="00F31292">
        <w:rPr>
          <w:rFonts w:ascii="Times New Roman" w:hAnsi="Times New Roman" w:cs="Times New Roman"/>
          <w:i/>
          <w:iCs/>
        </w:rPr>
        <w:t>solidity</w:t>
      </w:r>
      <w:r w:rsidRPr="00F31292">
        <w:rPr>
          <w:rFonts w:ascii="Times New Roman" w:hAnsi="Times New Roman" w:cs="Times New Roman"/>
        </w:rPr>
        <w:t>: they are “atoms or corpuscles endow’d with colour and solidity” (</w:t>
      </w:r>
      <w:r w:rsidRPr="00F31292">
        <w:rPr>
          <w:rFonts w:ascii="Times New Roman" w:hAnsi="Times New Roman" w:cs="Times New Roman"/>
          <w:i/>
          <w:iCs/>
        </w:rPr>
        <w:t>T</w:t>
      </w:r>
      <w:r w:rsidRPr="00F31292">
        <w:rPr>
          <w:rFonts w:ascii="Times New Roman" w:hAnsi="Times New Roman" w:cs="Times New Roman"/>
        </w:rPr>
        <w:t xml:space="preserve"> 1.2.3.15). Extension is intelligible when conceived of as constituted by colored or solid points.</w:t>
      </w:r>
      <w:r w:rsidRPr="00F31292">
        <w:rPr>
          <w:rStyle w:val="FootnoteReference"/>
          <w:rFonts w:ascii="Times New Roman" w:hAnsi="Times New Roman" w:cs="Times New Roman"/>
        </w:rPr>
        <w:footnoteReference w:id="15"/>
      </w:r>
      <w:r w:rsidRPr="00F31292">
        <w:rPr>
          <w:rFonts w:ascii="Times New Roman" w:hAnsi="Times New Roman" w:cs="Times New Roman"/>
        </w:rPr>
        <w:t xml:space="preserve"> Because extension must be conceived of in this way, the idea of a body must include ideas of colored or solid points: </w:t>
      </w:r>
      <w:r w:rsidRPr="00F31292">
        <w:rPr>
          <w:rFonts w:ascii="Times New Roman" w:hAnsi="Times New Roman" w:cs="Times New Roman"/>
        </w:rPr>
        <w:lastRenderedPageBreak/>
        <w:t>solidity and color are, in this way, conceptually compulsory</w:t>
      </w:r>
      <w:r w:rsidRPr="00F31292">
        <w:rPr>
          <w:rFonts w:ascii="Times New Roman" w:hAnsi="Times New Roman" w:cs="Times New Roman"/>
          <w:i/>
          <w:iCs/>
        </w:rPr>
        <w:t>.</w:t>
      </w:r>
      <w:r w:rsidRPr="00F31292">
        <w:rPr>
          <w:rStyle w:val="FootnoteReference"/>
          <w:rFonts w:ascii="Times New Roman" w:hAnsi="Times New Roman" w:cs="Times New Roman"/>
        </w:rPr>
        <w:footnoteReference w:id="16"/>
      </w:r>
      <w:r w:rsidRPr="00F31292">
        <w:rPr>
          <w:rFonts w:ascii="Times New Roman" w:hAnsi="Times New Roman" w:cs="Times New Roman"/>
          <w:i/>
          <w:iCs/>
        </w:rPr>
        <w:t xml:space="preserve"> </w:t>
      </w:r>
      <w:r w:rsidRPr="00F31292">
        <w:rPr>
          <w:rFonts w:ascii="Times New Roman" w:hAnsi="Times New Roman" w:cs="Times New Roman"/>
        </w:rPr>
        <w:t>“There is nothing but the idea of their colour or tangibility, which can render [the parts of extension] conceivable by the mind” (</w:t>
      </w:r>
      <w:r w:rsidRPr="00F31292">
        <w:rPr>
          <w:rFonts w:ascii="Times New Roman" w:hAnsi="Times New Roman" w:cs="Times New Roman"/>
          <w:i/>
          <w:iCs/>
        </w:rPr>
        <w:t>T</w:t>
      </w:r>
      <w:r w:rsidRPr="00F31292">
        <w:rPr>
          <w:rFonts w:ascii="Times New Roman" w:hAnsi="Times New Roman" w:cs="Times New Roman"/>
        </w:rPr>
        <w:t xml:space="preserve"> 1.2.3.15). </w:t>
      </w:r>
    </w:p>
    <w:p w14:paraId="4E76FDB2" w14:textId="64F6394C" w:rsidR="00F959A0" w:rsidRPr="00F959A0" w:rsidRDefault="00F959A0" w:rsidP="00F959A0">
      <w:pPr>
        <w:pStyle w:val="Heading1"/>
        <w:spacing w:before="240" w:after="120" w:line="480" w:lineRule="auto"/>
        <w:jc w:val="both"/>
        <w:rPr>
          <w:rFonts w:ascii="Times New Roman" w:hAnsi="Times New Roman" w:cs="Times New Roman"/>
          <w:color w:val="000000" w:themeColor="text1"/>
          <w:sz w:val="24"/>
          <w:szCs w:val="24"/>
        </w:rPr>
      </w:pPr>
      <w:bookmarkStart w:id="2" w:name="mps-constructive-phase"/>
      <w:bookmarkEnd w:id="1"/>
      <w:r w:rsidRPr="00F959A0">
        <w:rPr>
          <w:rFonts w:ascii="Times New Roman" w:hAnsi="Times New Roman" w:cs="Times New Roman"/>
          <w:color w:val="000000" w:themeColor="text1"/>
          <w:sz w:val="24"/>
          <w:szCs w:val="24"/>
        </w:rPr>
        <w:t>3. MP’s Causal Argument</w:t>
      </w:r>
    </w:p>
    <w:p w14:paraId="7438EC3E" w14:textId="49C08AF6" w:rsidR="00F959A0" w:rsidRPr="00F31292" w:rsidRDefault="00F959A0" w:rsidP="00F959A0">
      <w:pPr>
        <w:pStyle w:val="FirstParagraph"/>
        <w:spacing w:before="0" w:after="0" w:line="480" w:lineRule="auto"/>
        <w:jc w:val="both"/>
        <w:rPr>
          <w:rFonts w:ascii="Times New Roman" w:hAnsi="Times New Roman" w:cs="Times New Roman"/>
        </w:rPr>
      </w:pPr>
      <w:r w:rsidRPr="00F31292">
        <w:rPr>
          <w:rFonts w:ascii="Times New Roman" w:hAnsi="Times New Roman" w:cs="Times New Roman"/>
        </w:rPr>
        <w:t>MP begins with a distinction between “permanent, irresistible, and universal” principles of the imagination and those that are “changeable, weak, and irregular” (</w:t>
      </w:r>
      <w:r w:rsidRPr="00F31292">
        <w:rPr>
          <w:rFonts w:ascii="Times New Roman" w:hAnsi="Times New Roman" w:cs="Times New Roman"/>
          <w:i/>
          <w:iCs/>
        </w:rPr>
        <w:t>T</w:t>
      </w:r>
      <w:r w:rsidRPr="00F31292">
        <w:rPr>
          <w:rFonts w:ascii="Times New Roman" w:hAnsi="Times New Roman" w:cs="Times New Roman"/>
        </w:rPr>
        <w:t xml:space="preserve"> 1.4.4.1). The modern philosophy claims to arise from “consistent” principles of the former kind, which include the “customary transition from causes to effects, and from effects to causes” (</w:t>
      </w:r>
      <w:r w:rsidRPr="00F31292">
        <w:rPr>
          <w:rFonts w:ascii="Times New Roman" w:hAnsi="Times New Roman" w:cs="Times New Roman"/>
          <w:i/>
          <w:iCs/>
        </w:rPr>
        <w:t>T</w:t>
      </w:r>
      <w:r w:rsidRPr="00F31292">
        <w:rPr>
          <w:rFonts w:ascii="Times New Roman" w:hAnsi="Times New Roman" w:cs="Times New Roman"/>
        </w:rPr>
        <w:t xml:space="preserve"> 1.4.4.1</w:t>
      </w:r>
      <w:r>
        <w:rPr>
          <w:rFonts w:ascii="Times New Roman" w:hAnsi="Times New Roman" w:cs="Times New Roman"/>
        </w:rPr>
        <w:t>–</w:t>
      </w:r>
      <w:r w:rsidRPr="00F31292">
        <w:rPr>
          <w:rFonts w:ascii="Times New Roman" w:hAnsi="Times New Roman" w:cs="Times New Roman"/>
        </w:rPr>
        <w:t>2). What Hume calls the “fundamental principle” of the modern philosophy is that paradigmatic secondary qualities—“colours, sounds, tastes, smells, heat and cold”—are “nothing but impressions in the mind, deriv’d from the operation of external objects, and without any resemblance to the qualities of objects” (</w:t>
      </w:r>
      <w:r w:rsidRPr="00F31292">
        <w:rPr>
          <w:rFonts w:ascii="Times New Roman" w:hAnsi="Times New Roman" w:cs="Times New Roman"/>
          <w:i/>
          <w:iCs/>
        </w:rPr>
        <w:t>T</w:t>
      </w:r>
      <w:r w:rsidRPr="00F31292">
        <w:rPr>
          <w:rFonts w:ascii="Times New Roman" w:hAnsi="Times New Roman" w:cs="Times New Roman"/>
        </w:rPr>
        <w:t xml:space="preserve"> 1.4.4.3). This is the negative commitment of the modern philosophy.</w:t>
      </w:r>
      <w:r w:rsidRPr="00F31292">
        <w:rPr>
          <w:rStyle w:val="FootnoteReference"/>
          <w:rFonts w:ascii="Times New Roman" w:hAnsi="Times New Roman" w:cs="Times New Roman"/>
        </w:rPr>
        <w:footnoteReference w:id="17"/>
      </w:r>
    </w:p>
    <w:p w14:paraId="7238834F" w14:textId="44012BD7" w:rsidR="00F959A0" w:rsidRPr="00681C21"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Hume follows Bayle in portraying the negative commitment as being motivated by the perceptual relativity of secondary qualities. He presents an argument for the negative commitment founded on Rule 4 of </w:t>
      </w:r>
      <w:r w:rsidRPr="00F31292">
        <w:rPr>
          <w:rFonts w:ascii="Times New Roman" w:hAnsi="Times New Roman" w:cs="Times New Roman"/>
          <w:i/>
          <w:iCs/>
        </w:rPr>
        <w:t>T</w:t>
      </w:r>
      <w:r w:rsidRPr="00F31292">
        <w:rPr>
          <w:rFonts w:ascii="Times New Roman" w:hAnsi="Times New Roman" w:cs="Times New Roman"/>
        </w:rPr>
        <w:t xml:space="preserve"> 1.3.15, “Rules by which to judge of causes and effects</w:t>
      </w:r>
      <w:r>
        <w:rPr>
          <w:rFonts w:ascii="Times New Roman" w:hAnsi="Times New Roman" w:cs="Times New Roman"/>
        </w:rPr>
        <w:t>:</w:t>
      </w:r>
      <w:r w:rsidRPr="00F31292">
        <w:rPr>
          <w:rFonts w:ascii="Times New Roman" w:hAnsi="Times New Roman" w:cs="Times New Roman"/>
        </w:rPr>
        <w:t>”</w:t>
      </w:r>
      <w:r>
        <w:rPr>
          <w:rFonts w:ascii="Times New Roman" w:hAnsi="Times New Roman" w:cs="Times New Roman"/>
        </w:rPr>
        <w:t xml:space="preserve"> “</w:t>
      </w:r>
      <w:r w:rsidRPr="00F31292">
        <w:rPr>
          <w:rFonts w:ascii="Times New Roman" w:hAnsi="Times New Roman" w:cs="Times New Roman"/>
        </w:rPr>
        <w:t xml:space="preserve">The same cause </w:t>
      </w:r>
      <w:r w:rsidRPr="00F31292">
        <w:rPr>
          <w:rFonts w:ascii="Times New Roman" w:hAnsi="Times New Roman" w:cs="Times New Roman"/>
        </w:rPr>
        <w:lastRenderedPageBreak/>
        <w:t>always produces the same effect, and the same effect never arises but from the same cause” (</w:t>
      </w:r>
      <w:r w:rsidRPr="00F31292">
        <w:rPr>
          <w:rFonts w:ascii="Times New Roman" w:hAnsi="Times New Roman" w:cs="Times New Roman"/>
          <w:i/>
          <w:iCs/>
        </w:rPr>
        <w:t>T</w:t>
      </w:r>
      <w:r w:rsidRPr="00F31292">
        <w:rPr>
          <w:rFonts w:ascii="Times New Roman" w:hAnsi="Times New Roman" w:cs="Times New Roman"/>
        </w:rPr>
        <w:t xml:space="preserve"> 1.3.15.6). The argument is as follows:</w:t>
      </w:r>
    </w:p>
    <w:p w14:paraId="63EFC841" w14:textId="4E429789" w:rsidR="00F959A0" w:rsidRDefault="00F959A0" w:rsidP="00F959A0">
      <w:pPr>
        <w:pStyle w:val="BodyText"/>
        <w:spacing w:line="480" w:lineRule="auto"/>
        <w:jc w:val="both"/>
        <w:rPr>
          <w:rFonts w:ascii="Times New Roman" w:hAnsi="Times New Roman" w:cs="Times New Roman"/>
        </w:rPr>
      </w:pPr>
      <w:r>
        <w:tab/>
      </w:r>
      <w:r>
        <w:rPr>
          <w:rFonts w:ascii="Times New Roman" w:hAnsi="Times New Roman" w:cs="Times New Roman"/>
        </w:rPr>
        <w:t xml:space="preserve">(1) </w:t>
      </w:r>
      <w:r w:rsidRPr="00F31292">
        <w:rPr>
          <w:rFonts w:ascii="Times New Roman" w:hAnsi="Times New Roman" w:cs="Times New Roman"/>
        </w:rPr>
        <w:t>Many secondary quality impressions are caused by objects that do not resemble them.</w:t>
      </w:r>
    </w:p>
    <w:p w14:paraId="307C3230" w14:textId="0A0E78E9" w:rsidR="00F959A0" w:rsidRDefault="00F959A0" w:rsidP="00F959A0">
      <w:pPr>
        <w:pStyle w:val="BodyText"/>
        <w:spacing w:line="480" w:lineRule="auto"/>
        <w:ind w:left="720" w:hanging="720"/>
        <w:jc w:val="both"/>
        <w:rPr>
          <w:rFonts w:ascii="Times New Roman" w:hAnsi="Times New Roman" w:cs="Times New Roman"/>
        </w:rPr>
      </w:pPr>
      <w:r>
        <w:rPr>
          <w:rFonts w:ascii="Times New Roman" w:hAnsi="Times New Roman" w:cs="Times New Roman"/>
        </w:rPr>
        <w:tab/>
        <w:t xml:space="preserve">(2) </w:t>
      </w:r>
      <w:r w:rsidRPr="00F31292">
        <w:rPr>
          <w:rFonts w:ascii="Times New Roman" w:hAnsi="Times New Roman" w:cs="Times New Roman"/>
        </w:rPr>
        <w:t>If many secondary quality impressions are caused by objects that do not resemble them, then all impressions of secondary qualities are caused by objects that do not resemble them.</w:t>
      </w:r>
    </w:p>
    <w:p w14:paraId="044F13E7" w14:textId="7D125985" w:rsidR="00F959A0" w:rsidRDefault="00F959A0" w:rsidP="00F959A0">
      <w:pPr>
        <w:pStyle w:val="BodyText"/>
        <w:spacing w:line="480" w:lineRule="auto"/>
        <w:ind w:left="720" w:hanging="720"/>
        <w:jc w:val="both"/>
        <w:rPr>
          <w:rFonts w:ascii="Times New Roman" w:hAnsi="Times New Roman" w:cs="Times New Roman"/>
        </w:rPr>
      </w:pPr>
      <w:r>
        <w:rPr>
          <w:rFonts w:ascii="Times New Roman" w:hAnsi="Times New Roman" w:cs="Times New Roman"/>
        </w:rPr>
        <w:tab/>
        <w:t xml:space="preserve">(3) </w:t>
      </w:r>
      <w:r w:rsidRPr="00F31292">
        <w:rPr>
          <w:rFonts w:ascii="Times New Roman" w:hAnsi="Times New Roman" w:cs="Times New Roman"/>
        </w:rPr>
        <w:t>All secondary quality impressions are caused by objects that do not resemble them.</w:t>
      </w:r>
    </w:p>
    <w:p w14:paraId="1C369BAB" w14:textId="75759B50" w:rsidR="00F959A0" w:rsidRPr="00F31292" w:rsidRDefault="00F959A0" w:rsidP="00F959A0">
      <w:pPr>
        <w:pStyle w:val="BodyText"/>
        <w:spacing w:before="0" w:after="0" w:line="480" w:lineRule="auto"/>
        <w:jc w:val="both"/>
        <w:rPr>
          <w:rFonts w:ascii="Times New Roman" w:hAnsi="Times New Roman" w:cs="Times New Roman"/>
        </w:rPr>
      </w:pPr>
      <w:r w:rsidRPr="00F31292">
        <w:rPr>
          <w:rFonts w:ascii="Times New Roman" w:hAnsi="Times New Roman" w:cs="Times New Roman"/>
        </w:rPr>
        <w:t xml:space="preserve">I call this the </w:t>
      </w:r>
      <w:r w:rsidRPr="00F31292">
        <w:rPr>
          <w:rFonts w:ascii="Times New Roman" w:hAnsi="Times New Roman" w:cs="Times New Roman"/>
          <w:i/>
          <w:iCs/>
        </w:rPr>
        <w:t>causal argument</w:t>
      </w:r>
      <w:r w:rsidRPr="00F31292">
        <w:rPr>
          <w:rFonts w:ascii="Times New Roman" w:hAnsi="Times New Roman" w:cs="Times New Roman"/>
        </w:rPr>
        <w:t>. Hume appeals to perceptual relativity in support of (1). A body appears to have different colors depending on the distance from which it is perceived. Because a body cannot, at a time, have different qualities of the same sense, many color impressions produced by the body do not resemble it in respect of color. (2) is an application of the second conjunct of Rule 4. All color impressions resemble each other at least insofar as they are color impressions. If many color impressions are caused by bodies that do not resemble them, then, by the second conjunct of Rule 4, no color impressions are caused by bodies that resemble them. From (1) and (2), the negative commitment follows: secondary quality impressions have “no external model or archetype” (</w:t>
      </w:r>
      <w:r w:rsidRPr="00F31292">
        <w:rPr>
          <w:rFonts w:ascii="Times New Roman" w:hAnsi="Times New Roman" w:cs="Times New Roman"/>
          <w:i/>
          <w:iCs/>
        </w:rPr>
        <w:t>T</w:t>
      </w:r>
      <w:r w:rsidRPr="00F31292">
        <w:rPr>
          <w:rFonts w:ascii="Times New Roman" w:hAnsi="Times New Roman" w:cs="Times New Roman"/>
        </w:rPr>
        <w:t xml:space="preserve"> 1.4.4.4). They are “nothing but impressions in the mind” (</w:t>
      </w:r>
      <w:r w:rsidRPr="00F31292">
        <w:rPr>
          <w:rFonts w:ascii="Times New Roman" w:hAnsi="Times New Roman" w:cs="Times New Roman"/>
          <w:i/>
          <w:iCs/>
        </w:rPr>
        <w:t>T</w:t>
      </w:r>
      <w:r w:rsidRPr="00F31292">
        <w:rPr>
          <w:rFonts w:ascii="Times New Roman" w:hAnsi="Times New Roman" w:cs="Times New Roman"/>
        </w:rPr>
        <w:t xml:space="preserve"> 1.4.4.3).</w:t>
      </w:r>
    </w:p>
    <w:p w14:paraId="754D2508" w14:textId="06F007D3"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causal argument suffers from a defect identified by Berkeley. In the </w:t>
      </w:r>
      <w:r w:rsidRPr="00F31292">
        <w:rPr>
          <w:rFonts w:ascii="Times New Roman" w:hAnsi="Times New Roman" w:cs="Times New Roman"/>
          <w:i/>
          <w:iCs/>
        </w:rPr>
        <w:t>Principles</w:t>
      </w:r>
      <w:r w:rsidRPr="00F31292">
        <w:rPr>
          <w:rFonts w:ascii="Times New Roman" w:hAnsi="Times New Roman" w:cs="Times New Roman"/>
        </w:rPr>
        <w:t>, Berkeley claims that arguments from perceptual relativity used to establish that secondary qualities “exist only in the mind” can “with equal force be brought to prove the same thing of extension, figure, and motion” (</w:t>
      </w:r>
      <w:r w:rsidRPr="00F31292">
        <w:rPr>
          <w:rFonts w:ascii="Times New Roman" w:hAnsi="Times New Roman" w:cs="Times New Roman"/>
          <w:i/>
          <w:iCs/>
        </w:rPr>
        <w:t>PHK</w:t>
      </w:r>
      <w:r w:rsidRPr="00F31292">
        <w:rPr>
          <w:rFonts w:ascii="Times New Roman" w:hAnsi="Times New Roman" w:cs="Times New Roman"/>
        </w:rPr>
        <w:t xml:space="preserve"> 1</w:t>
      </w:r>
      <w:r>
        <w:rPr>
          <w:rFonts w:ascii="Times New Roman" w:hAnsi="Times New Roman" w:cs="Times New Roman"/>
        </w:rPr>
        <w:t>5</w:t>
      </w:r>
      <w:r w:rsidRPr="00F31292">
        <w:rPr>
          <w:rFonts w:ascii="Times New Roman" w:hAnsi="Times New Roman" w:cs="Times New Roman"/>
        </w:rPr>
        <w:t>).</w:t>
      </w:r>
      <w:r w:rsidRPr="00F31292">
        <w:rPr>
          <w:rStyle w:val="FootnoteReference"/>
          <w:rFonts w:ascii="Times New Roman" w:hAnsi="Times New Roman" w:cs="Times New Roman"/>
        </w:rPr>
        <w:footnoteReference w:id="18"/>
      </w:r>
      <w:r w:rsidRPr="00F31292">
        <w:rPr>
          <w:rFonts w:ascii="Times New Roman" w:hAnsi="Times New Roman" w:cs="Times New Roman"/>
        </w:rPr>
        <w:t xml:space="preserve"> He notes a limitation of such arguments: “it must be confessed this method of arguing does not so much prove that there is no extension or colour in an outward </w:t>
      </w:r>
      <w:r w:rsidRPr="00F31292">
        <w:rPr>
          <w:rFonts w:ascii="Times New Roman" w:hAnsi="Times New Roman" w:cs="Times New Roman"/>
        </w:rPr>
        <w:lastRenderedPageBreak/>
        <w:t>object, as that we do not know by sense which is the true extension or colour of the object” (</w:t>
      </w:r>
      <w:r w:rsidRPr="00F31292">
        <w:rPr>
          <w:rFonts w:ascii="Times New Roman" w:hAnsi="Times New Roman" w:cs="Times New Roman"/>
          <w:i/>
          <w:iCs/>
        </w:rPr>
        <w:t>PHK</w:t>
      </w:r>
      <w:r w:rsidRPr="00F31292">
        <w:rPr>
          <w:rFonts w:ascii="Times New Roman" w:hAnsi="Times New Roman" w:cs="Times New Roman"/>
        </w:rPr>
        <w:t xml:space="preserve"> 1</w:t>
      </w:r>
      <w:r>
        <w:rPr>
          <w:rFonts w:ascii="Times New Roman" w:hAnsi="Times New Roman" w:cs="Times New Roman"/>
        </w:rPr>
        <w:t>5</w:t>
      </w:r>
      <w:r w:rsidRPr="00F31292">
        <w:rPr>
          <w:rFonts w:ascii="Times New Roman" w:hAnsi="Times New Roman" w:cs="Times New Roman"/>
        </w:rPr>
        <w:t>). Because impressions of secondary qualities are similar in respect of some but not all of their intrinsic and extrinsic properties, the second conjunct of Rule 4, on any plausible construal, implies only that the causes of such impressions are alike in some respects. This is compatible with some but not all causes of impressions of secondary qualities resembling those impressions in respect of being colored, even if it is unknown to us which causes resemble the impressions in that respect. The application of Rule 4 on which (2) depends is illicit.</w:t>
      </w:r>
      <w:r w:rsidRPr="00F31292">
        <w:rPr>
          <w:rStyle w:val="FootnoteReference"/>
          <w:rFonts w:ascii="Times New Roman" w:hAnsi="Times New Roman" w:cs="Times New Roman"/>
        </w:rPr>
        <w:footnoteReference w:id="19"/>
      </w:r>
      <w:r w:rsidRPr="00F31292">
        <w:rPr>
          <w:rFonts w:ascii="Times New Roman" w:hAnsi="Times New Roman" w:cs="Times New Roman"/>
        </w:rPr>
        <w:t xml:space="preserve"> Arguments from perceptual relativity are insufficient to establish the conclusion that impressions of secondary qualities do not resemble bodies. At best, they establish that we do not know which impressions of secondary qualities resemble bodies.</w:t>
      </w:r>
    </w:p>
    <w:p w14:paraId="6CAFA891" w14:textId="0C6F889E"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While the causal argument may be deficient, Hume believes that it is exceptionally strong. He describes the argument as an instance of our reasoning “justly and regularly from causes and effects” (</w:t>
      </w:r>
      <w:r w:rsidRPr="00F31292">
        <w:rPr>
          <w:rFonts w:ascii="Times New Roman" w:hAnsi="Times New Roman" w:cs="Times New Roman"/>
          <w:i/>
          <w:iCs/>
        </w:rPr>
        <w:t>T</w:t>
      </w:r>
      <w:r w:rsidRPr="00F31292">
        <w:rPr>
          <w:rFonts w:ascii="Times New Roman" w:hAnsi="Times New Roman" w:cs="Times New Roman"/>
        </w:rPr>
        <w:t xml:space="preserve"> 1.4.7.4). He treats the conclusion of the argument as established fact: the idea of colored extension is a “false idea” (</w:t>
      </w:r>
      <w:r w:rsidRPr="00F31292">
        <w:rPr>
          <w:rFonts w:ascii="Times New Roman" w:hAnsi="Times New Roman" w:cs="Times New Roman"/>
          <w:i/>
          <w:iCs/>
        </w:rPr>
        <w:t>T</w:t>
      </w:r>
      <w:r w:rsidRPr="00F31292">
        <w:rPr>
          <w:rFonts w:ascii="Times New Roman" w:hAnsi="Times New Roman" w:cs="Times New Roman"/>
        </w:rPr>
        <w:t xml:space="preserve"> 1.4.4.10). And in Book 3 of the </w:t>
      </w:r>
      <w:r w:rsidRPr="00F31292">
        <w:rPr>
          <w:rFonts w:ascii="Times New Roman" w:hAnsi="Times New Roman" w:cs="Times New Roman"/>
          <w:i/>
          <w:iCs/>
        </w:rPr>
        <w:t>Treatise</w:t>
      </w:r>
      <w:r w:rsidRPr="00F31292">
        <w:rPr>
          <w:rFonts w:ascii="Times New Roman" w:hAnsi="Times New Roman" w:cs="Times New Roman"/>
        </w:rPr>
        <w:t>, he likens vice and virtue to secondary qualities and refers to the negative commitment as a “discovery:” “And this discovery in morals, like that other in physics, is to be regarded as a considerable advancement of the speculative sciences” (</w:t>
      </w:r>
      <w:r w:rsidRPr="00F31292">
        <w:rPr>
          <w:rFonts w:ascii="Times New Roman" w:hAnsi="Times New Roman" w:cs="Times New Roman"/>
          <w:i/>
          <w:iCs/>
        </w:rPr>
        <w:t>T</w:t>
      </w:r>
      <w:r w:rsidRPr="00F31292">
        <w:rPr>
          <w:rFonts w:ascii="Times New Roman" w:hAnsi="Times New Roman" w:cs="Times New Roman"/>
        </w:rPr>
        <w:t xml:space="preserve"> 3.1.1.26).</w:t>
      </w:r>
      <w:r w:rsidRPr="00F31292">
        <w:rPr>
          <w:rStyle w:val="FootnoteReference"/>
          <w:rFonts w:ascii="Times New Roman" w:hAnsi="Times New Roman" w:cs="Times New Roman"/>
        </w:rPr>
        <w:footnoteReference w:id="20"/>
      </w:r>
      <w:r w:rsidRPr="00F31292">
        <w:rPr>
          <w:rFonts w:ascii="Times New Roman" w:hAnsi="Times New Roman" w:cs="Times New Roman"/>
        </w:rPr>
        <w:t xml:space="preserve"> Indeed, Hume regards the causal argument as an inductive </w:t>
      </w:r>
      <w:r w:rsidRPr="00F31292">
        <w:rPr>
          <w:rFonts w:ascii="Times New Roman" w:hAnsi="Times New Roman" w:cs="Times New Roman"/>
        </w:rPr>
        <w:lastRenderedPageBreak/>
        <w:t xml:space="preserve">proof. The </w:t>
      </w:r>
      <w:r w:rsidRPr="00F31292">
        <w:rPr>
          <w:rFonts w:ascii="Times New Roman" w:hAnsi="Times New Roman" w:cs="Times New Roman"/>
          <w:i/>
          <w:iCs/>
        </w:rPr>
        <w:t>Treatise</w:t>
      </w:r>
      <w:r w:rsidRPr="00F31292">
        <w:rPr>
          <w:rFonts w:ascii="Times New Roman" w:hAnsi="Times New Roman" w:cs="Times New Roman"/>
        </w:rPr>
        <w:t xml:space="preserve"> distinguishes between three kinds of reasoning: knowledge, proofs, and probabilities. Knowledge is “the assurance arising from the comparison of ideas” (</w:t>
      </w:r>
      <w:r w:rsidRPr="00F31292">
        <w:rPr>
          <w:rFonts w:ascii="Times New Roman" w:hAnsi="Times New Roman" w:cs="Times New Roman"/>
          <w:i/>
          <w:iCs/>
        </w:rPr>
        <w:t>T</w:t>
      </w:r>
      <w:r w:rsidRPr="00F31292">
        <w:rPr>
          <w:rFonts w:ascii="Times New Roman" w:hAnsi="Times New Roman" w:cs="Times New Roman"/>
        </w:rPr>
        <w:t xml:space="preserve"> 1.3.11.2). Proofs are “those arguments, which are deriv’d from the relation of cause and effect, and which are entirely free from doubt and uncertainty” (</w:t>
      </w:r>
      <w:r w:rsidRPr="00F31292">
        <w:rPr>
          <w:rFonts w:ascii="Times New Roman" w:hAnsi="Times New Roman" w:cs="Times New Roman"/>
          <w:i/>
          <w:iCs/>
        </w:rPr>
        <w:t>T</w:t>
      </w:r>
      <w:r w:rsidRPr="00F31292">
        <w:rPr>
          <w:rFonts w:ascii="Times New Roman" w:hAnsi="Times New Roman" w:cs="Times New Roman"/>
        </w:rPr>
        <w:t xml:space="preserve"> 1.3.11.2). Probabilities are inductive arguments the conclusions of which are uncertain. This distinction does not necessarily “denote a Superiority of one above another” (LG 26).</w:t>
      </w:r>
      <w:r w:rsidRPr="00F31292">
        <w:rPr>
          <w:rStyle w:val="FootnoteReference"/>
          <w:rFonts w:ascii="Times New Roman" w:hAnsi="Times New Roman" w:cs="Times New Roman"/>
        </w:rPr>
        <w:footnoteReference w:id="21"/>
      </w:r>
      <w:r w:rsidRPr="00F31292">
        <w:rPr>
          <w:rFonts w:ascii="Times New Roman" w:hAnsi="Times New Roman" w:cs="Times New Roman"/>
        </w:rPr>
        <w:t xml:space="preserve"> The moral certainty of inductive arguments may “reach as high a Degree of Assurance” as the certainty of demonstrations, as is the case with respect to inductive proofs (LG 26). Because the causal argument is not a demonstration, the negative commitment of the modern philosophy is not an instance of knowledge. That Hume regards the causal argument as a proof rather than a mere probability is confirmed by his claiming that its conclusion is “as satisfactory </w:t>
      </w:r>
      <w:r w:rsidRPr="00F31292">
        <w:rPr>
          <w:rFonts w:ascii="Times New Roman" w:hAnsi="Times New Roman" w:cs="Times New Roman"/>
          <w:i/>
          <w:iCs/>
        </w:rPr>
        <w:t>as can possibly be imagin’d</w:t>
      </w:r>
      <w:r w:rsidRPr="00F31292">
        <w:rPr>
          <w:rFonts w:ascii="Times New Roman" w:hAnsi="Times New Roman" w:cs="Times New Roman"/>
        </w:rPr>
        <w:t>” (</w:t>
      </w:r>
      <w:r w:rsidRPr="00F31292">
        <w:rPr>
          <w:rFonts w:ascii="Times New Roman" w:hAnsi="Times New Roman" w:cs="Times New Roman"/>
          <w:i/>
          <w:iCs/>
        </w:rPr>
        <w:t>T</w:t>
      </w:r>
      <w:r w:rsidRPr="00F31292">
        <w:rPr>
          <w:rFonts w:ascii="Times New Roman" w:hAnsi="Times New Roman" w:cs="Times New Roman"/>
        </w:rPr>
        <w:t xml:space="preserve"> 1.4.4.4, emphasis added).</w:t>
      </w:r>
    </w:p>
    <w:p w14:paraId="619B8FCA" w14:textId="4D341C12"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negative commitment is also endorsed in Hume’s later works. In a 1762 letter to Hugh Blair, Hume criticizes Reid’s position that “the Vulgar do not believe the sensible Qualities of Heat, Smell, Sound, &amp; probably Colour to be really in the Bodies, but only their Causes or something capable of producing them in the Mind.” He complains that “this is imagining the Vulgar to be Philosophers &amp; Corpuscularians from their Infancy. You know what pains it cost Malebranche &amp; Locke to </w:t>
      </w:r>
      <w:r w:rsidRPr="00F31292">
        <w:rPr>
          <w:rFonts w:ascii="Times New Roman" w:hAnsi="Times New Roman" w:cs="Times New Roman"/>
          <w:i/>
          <w:iCs/>
        </w:rPr>
        <w:t>establish</w:t>
      </w:r>
      <w:r w:rsidRPr="00F31292">
        <w:rPr>
          <w:rFonts w:ascii="Times New Roman" w:hAnsi="Times New Roman" w:cs="Times New Roman"/>
        </w:rPr>
        <w:t xml:space="preserve"> that Principle.”</w:t>
      </w:r>
      <w:r w:rsidRPr="00F31292">
        <w:rPr>
          <w:rStyle w:val="FootnoteReference"/>
          <w:rFonts w:ascii="Times New Roman" w:hAnsi="Times New Roman" w:cs="Times New Roman"/>
        </w:rPr>
        <w:footnoteReference w:id="22"/>
      </w:r>
      <w:r w:rsidRPr="00F31292">
        <w:rPr>
          <w:rFonts w:ascii="Times New Roman" w:hAnsi="Times New Roman" w:cs="Times New Roman"/>
        </w:rPr>
        <w:t xml:space="preserve"> In a footnote to “The Sceptic,” he reminds his readers of “that famous doctrine, supposed to be fully proved in modern times, ‘That tastes and colours, and all other sensible qualities, lie not in the bodies, but merely in the senses.’” He claims that “the case is the same with beauty and deformity, virtue and vice” and asks “as it is certain, </w:t>
      </w:r>
      <w:r w:rsidRPr="00F31292">
        <w:rPr>
          <w:rFonts w:ascii="Times New Roman" w:hAnsi="Times New Roman" w:cs="Times New Roman"/>
        </w:rPr>
        <w:lastRenderedPageBreak/>
        <w:t xml:space="preserve">that the </w:t>
      </w:r>
      <w:r w:rsidRPr="00F31292">
        <w:rPr>
          <w:rFonts w:ascii="Times New Roman" w:hAnsi="Times New Roman" w:cs="Times New Roman"/>
          <w:i/>
          <w:iCs/>
        </w:rPr>
        <w:t>discovery</w:t>
      </w:r>
      <w:r w:rsidRPr="00F31292">
        <w:rPr>
          <w:rFonts w:ascii="Times New Roman" w:hAnsi="Times New Roman" w:cs="Times New Roman"/>
        </w:rPr>
        <w:t xml:space="preserve"> above-mentioned in natural philosophy, makes no alteration on action and conduct; why should a like discovery in moral philosophy make any alteration?” (</w:t>
      </w:r>
      <w:r w:rsidRPr="00F31292">
        <w:rPr>
          <w:rFonts w:ascii="Times New Roman" w:hAnsi="Times New Roman" w:cs="Times New Roman"/>
          <w:i/>
          <w:iCs/>
        </w:rPr>
        <w:t xml:space="preserve">Essays, </w:t>
      </w:r>
      <w:r w:rsidRPr="00F31292">
        <w:rPr>
          <w:rFonts w:ascii="Times New Roman" w:hAnsi="Times New Roman" w:cs="Times New Roman"/>
        </w:rPr>
        <w:t>166n).</w:t>
      </w:r>
      <w:r w:rsidRPr="00F31292">
        <w:rPr>
          <w:rStyle w:val="FootnoteReference"/>
          <w:rFonts w:ascii="Times New Roman" w:hAnsi="Times New Roman" w:cs="Times New Roman"/>
        </w:rPr>
        <w:footnoteReference w:id="23"/>
      </w:r>
      <w:r w:rsidRPr="00F31292">
        <w:rPr>
          <w:rFonts w:ascii="Times New Roman" w:hAnsi="Times New Roman" w:cs="Times New Roman"/>
        </w:rPr>
        <w:t xml:space="preserve"> Likewise, in “Of the Standard of Taste,” Hume provides an account of the “true and real” color of objects, according to which it is “the appearance of objects in day-light, to the eye of a man in health” (</w:t>
      </w:r>
      <w:r w:rsidRPr="00F31292">
        <w:rPr>
          <w:rFonts w:ascii="Times New Roman" w:hAnsi="Times New Roman" w:cs="Times New Roman"/>
          <w:i/>
          <w:iCs/>
        </w:rPr>
        <w:t>Essays,</w:t>
      </w:r>
      <w:r w:rsidRPr="00F31292">
        <w:rPr>
          <w:rFonts w:ascii="Times New Roman" w:hAnsi="Times New Roman" w:cs="Times New Roman"/>
        </w:rPr>
        <w:t xml:space="preserve"> 234). This account allows that color is “merely a phantasm of the senses.” </w:t>
      </w:r>
    </w:p>
    <w:p w14:paraId="58558882" w14:textId="4FB7E1CA"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Hume’s praise of the causal argument and his numerous endorsements of its conclusion admit of a simple reading: he holds that the negative commitment is true. But as we have seen, the standard reading of MP holds that Hume’s acceptance is at best provisional.</w:t>
      </w:r>
      <w:r w:rsidRPr="00F31292">
        <w:rPr>
          <w:rStyle w:val="FootnoteReference"/>
          <w:rFonts w:ascii="Times New Roman" w:hAnsi="Times New Roman" w:cs="Times New Roman"/>
        </w:rPr>
        <w:footnoteReference w:id="24"/>
      </w:r>
      <w:r w:rsidRPr="00F31292">
        <w:rPr>
          <w:rFonts w:ascii="Times New Roman" w:hAnsi="Times New Roman" w:cs="Times New Roman"/>
        </w:rPr>
        <w:t xml:space="preserve"> Adjudicating this issue requires consideration of the skeptical argument in the section’s second phase. But a significant objection to the standard reading should be noted: nowhere in MP does Hume claim to have shown that the negative commitment of the modern philosophy is false. This and his repeated endorsements of the commitment suggest, against the standard reading, that Hume does not regard the commitment as false.</w:t>
      </w:r>
    </w:p>
    <w:p w14:paraId="3F34D639" w14:textId="5CFB9A45"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Hume understands the negative commitment of the modern philosophy as the claim that secondary qualities are identical with sensory impressions. Commentators have objected that this </w:t>
      </w:r>
      <w:r w:rsidRPr="00F31292">
        <w:rPr>
          <w:rFonts w:ascii="Times New Roman" w:hAnsi="Times New Roman" w:cs="Times New Roman"/>
        </w:rPr>
        <w:lastRenderedPageBreak/>
        <w:t>misunderstands the primary/secondary distinction. Sturgeon writes that Hume’s account of the negative commitment is a “wild</w:t>
      </w:r>
      <w:r>
        <w:rPr>
          <w:rFonts w:ascii="Times New Roman" w:hAnsi="Times New Roman" w:cs="Times New Roman"/>
        </w:rPr>
        <w:t xml:space="preserve"> . . . </w:t>
      </w:r>
      <w:r w:rsidRPr="00F31292">
        <w:rPr>
          <w:rFonts w:ascii="Times New Roman" w:hAnsi="Times New Roman" w:cs="Times New Roman"/>
        </w:rPr>
        <w:t>misrepresentation.”</w:t>
      </w:r>
      <w:r w:rsidRPr="00F31292">
        <w:rPr>
          <w:rStyle w:val="FootnoteReference"/>
          <w:rFonts w:ascii="Times New Roman" w:hAnsi="Times New Roman" w:cs="Times New Roman"/>
        </w:rPr>
        <w:footnoteReference w:id="25"/>
      </w:r>
      <w:r w:rsidRPr="00F31292">
        <w:rPr>
          <w:rFonts w:ascii="Times New Roman" w:hAnsi="Times New Roman" w:cs="Times New Roman"/>
        </w:rPr>
        <w:t xml:space="preserve"> The objection is that proponents of the primary/secondary distinction do not identify secondary qualities with perceptions but rather with powers to produce perceptions. Locke holds that secondary qualities are “nothing in the Objects themselves, but Powers to produce various Sensations in us by their </w:t>
      </w:r>
      <w:r w:rsidRPr="00F31292">
        <w:rPr>
          <w:rFonts w:ascii="Times New Roman" w:hAnsi="Times New Roman" w:cs="Times New Roman"/>
          <w:i/>
          <w:iCs/>
        </w:rPr>
        <w:t>primary Qualities</w:t>
      </w:r>
      <w:r w:rsidRPr="00F31292">
        <w:rPr>
          <w:rFonts w:ascii="Times New Roman" w:hAnsi="Times New Roman" w:cs="Times New Roman"/>
        </w:rPr>
        <w:t xml:space="preserve"> (</w:t>
      </w:r>
      <w:r w:rsidRPr="00F31292">
        <w:rPr>
          <w:rFonts w:ascii="Times New Roman" w:hAnsi="Times New Roman" w:cs="Times New Roman"/>
          <w:i/>
          <w:iCs/>
        </w:rPr>
        <w:t>E</w:t>
      </w:r>
      <w:r w:rsidRPr="00F31292">
        <w:rPr>
          <w:rFonts w:ascii="Times New Roman" w:hAnsi="Times New Roman" w:cs="Times New Roman"/>
        </w:rPr>
        <w:t xml:space="preserve"> II.viii.10). And Boyle says that a se</w:t>
      </w:r>
      <w:r>
        <w:rPr>
          <w:rFonts w:ascii="Times New Roman" w:hAnsi="Times New Roman" w:cs="Times New Roman"/>
        </w:rPr>
        <w:t>nsible</w:t>
      </w:r>
      <w:r w:rsidRPr="00F31292">
        <w:rPr>
          <w:rFonts w:ascii="Times New Roman" w:hAnsi="Times New Roman" w:cs="Times New Roman"/>
        </w:rPr>
        <w:t xml:space="preserve"> quality of a body is “a disposition of its </w:t>
      </w:r>
      <w:r>
        <w:rPr>
          <w:rFonts w:ascii="Times New Roman" w:hAnsi="Times New Roman" w:cs="Times New Roman"/>
        </w:rPr>
        <w:t>C</w:t>
      </w:r>
      <w:r w:rsidRPr="00F31292">
        <w:rPr>
          <w:rFonts w:ascii="Times New Roman" w:hAnsi="Times New Roman" w:cs="Times New Roman"/>
        </w:rPr>
        <w:t xml:space="preserve">onstituent </w:t>
      </w:r>
      <w:r>
        <w:rPr>
          <w:rFonts w:ascii="Times New Roman" w:hAnsi="Times New Roman" w:cs="Times New Roman"/>
        </w:rPr>
        <w:t>C</w:t>
      </w:r>
      <w:r w:rsidRPr="00F31292">
        <w:rPr>
          <w:rFonts w:ascii="Times New Roman" w:hAnsi="Times New Roman" w:cs="Times New Roman"/>
        </w:rPr>
        <w:t>orpuscles” (</w:t>
      </w:r>
      <w:r w:rsidRPr="00F31292">
        <w:rPr>
          <w:rFonts w:ascii="Times New Roman" w:hAnsi="Times New Roman" w:cs="Times New Roman"/>
          <w:i/>
          <w:iCs/>
        </w:rPr>
        <w:t>Origin</w:t>
      </w:r>
      <w:r>
        <w:rPr>
          <w:rFonts w:ascii="Times New Roman" w:hAnsi="Times New Roman" w:cs="Times New Roman"/>
          <w:i/>
          <w:iCs/>
        </w:rPr>
        <w:t>e</w:t>
      </w:r>
      <w:r w:rsidRPr="00F31292">
        <w:rPr>
          <w:rFonts w:ascii="Times New Roman" w:hAnsi="Times New Roman" w:cs="Times New Roman"/>
          <w:i/>
          <w:iCs/>
        </w:rPr>
        <w:t xml:space="preserve"> of Form</w:t>
      </w:r>
      <w:r>
        <w:rPr>
          <w:rFonts w:ascii="Times New Roman" w:hAnsi="Times New Roman" w:cs="Times New Roman"/>
          <w:i/>
          <w:iCs/>
        </w:rPr>
        <w:t>e</w:t>
      </w:r>
      <w:r w:rsidRPr="00F31292">
        <w:rPr>
          <w:rFonts w:ascii="Times New Roman" w:hAnsi="Times New Roman" w:cs="Times New Roman"/>
          <w:i/>
          <w:iCs/>
        </w:rPr>
        <w:t>s and Qualities</w:t>
      </w:r>
      <w:r w:rsidRPr="00F31292">
        <w:rPr>
          <w:rFonts w:ascii="Times New Roman" w:hAnsi="Times New Roman" w:cs="Times New Roman"/>
        </w:rPr>
        <w:t xml:space="preserve">, </w:t>
      </w:r>
      <w:r>
        <w:rPr>
          <w:rFonts w:ascii="Times New Roman" w:hAnsi="Times New Roman" w:cs="Times New Roman"/>
        </w:rPr>
        <w:t>319</w:t>
      </w:r>
      <w:r w:rsidRPr="00F31292">
        <w:rPr>
          <w:rFonts w:ascii="Times New Roman" w:hAnsi="Times New Roman" w:cs="Times New Roman"/>
        </w:rPr>
        <w:t>).</w:t>
      </w:r>
    </w:p>
    <w:p w14:paraId="3F634367" w14:textId="4D72B678"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Hume’s putative misunderstanding of the primary/secondary distinction has been overstated. There are at least three ways in which we might understand colors. </w:t>
      </w:r>
      <w:r w:rsidRPr="00F31292">
        <w:rPr>
          <w:rFonts w:ascii="Times New Roman" w:hAnsi="Times New Roman" w:cs="Times New Roman"/>
          <w:i/>
          <w:iCs/>
        </w:rPr>
        <w:t>Dispositional colors</w:t>
      </w:r>
      <w:r w:rsidRPr="00F31292">
        <w:rPr>
          <w:rFonts w:ascii="Times New Roman" w:hAnsi="Times New Roman" w:cs="Times New Roman"/>
        </w:rPr>
        <w:t xml:space="preserve"> are dispositional properties of bodies to produce perceptions of color. </w:t>
      </w:r>
      <w:r w:rsidRPr="00F31292">
        <w:rPr>
          <w:rFonts w:ascii="Times New Roman" w:hAnsi="Times New Roman" w:cs="Times New Roman"/>
          <w:i/>
          <w:iCs/>
        </w:rPr>
        <w:t>Perceptual colors</w:t>
      </w:r>
      <w:r w:rsidRPr="00F31292">
        <w:rPr>
          <w:rFonts w:ascii="Times New Roman" w:hAnsi="Times New Roman" w:cs="Times New Roman"/>
        </w:rPr>
        <w:t xml:space="preserve"> are perceptions of color. And </w:t>
      </w:r>
      <w:r w:rsidRPr="00F31292">
        <w:rPr>
          <w:rFonts w:ascii="Times New Roman" w:hAnsi="Times New Roman" w:cs="Times New Roman"/>
          <w:i/>
          <w:iCs/>
        </w:rPr>
        <w:t>phenomenal colors</w:t>
      </w:r>
      <w:r w:rsidRPr="00F31292">
        <w:rPr>
          <w:rFonts w:ascii="Times New Roman" w:hAnsi="Times New Roman" w:cs="Times New Roman"/>
        </w:rPr>
        <w:t xml:space="preserve"> are phenomenal properties included in the content of perceptions of color. Sturgeon’s objection is that whereas the negative commitment of the modern philosophy, as characterized by Hume, identifies colors with perceptual colors, prominent proponents of the primary/secondary distinction identify colors with dispositional colors. But such authors allow a use of color terms on which they signify perceptions produced by powers of bodies: perceptual colors. Locke sometimes speaks of colors as ideas produced by powers in bodies. When enumerating “Ideas, </w:t>
      </w:r>
      <w:r w:rsidRPr="00F31292">
        <w:rPr>
          <w:rFonts w:ascii="Times New Roman" w:hAnsi="Times New Roman" w:cs="Times New Roman"/>
          <w:i/>
          <w:iCs/>
        </w:rPr>
        <w:t>which have admittance only through one Sense</w:t>
      </w:r>
      <w:r w:rsidRPr="00F31292">
        <w:rPr>
          <w:rFonts w:ascii="Times New Roman" w:hAnsi="Times New Roman" w:cs="Times New Roman"/>
        </w:rPr>
        <w:t>,” he includes “Light and Colours, as white, red, yellow, blue; with their several Degrees or Shades, and Mixtures, as Green, Scarlet, Purple, Sea-green, and the rest, come in only by the Eyes” (</w:t>
      </w:r>
      <w:r w:rsidRPr="00F31292">
        <w:rPr>
          <w:rFonts w:ascii="Times New Roman" w:hAnsi="Times New Roman" w:cs="Times New Roman"/>
          <w:i/>
          <w:iCs/>
        </w:rPr>
        <w:t>E</w:t>
      </w:r>
      <w:r w:rsidRPr="00F31292">
        <w:rPr>
          <w:rFonts w:ascii="Times New Roman" w:hAnsi="Times New Roman" w:cs="Times New Roman"/>
        </w:rPr>
        <w:t xml:space="preserve"> II.iii.1). Likewise, Boyle suggests that a body’s having a certain quality consists in “its having such a disposition of its </w:t>
      </w:r>
      <w:r>
        <w:rPr>
          <w:rFonts w:ascii="Times New Roman" w:hAnsi="Times New Roman" w:cs="Times New Roman"/>
        </w:rPr>
        <w:t>C</w:t>
      </w:r>
      <w:r w:rsidRPr="00F31292">
        <w:rPr>
          <w:rFonts w:ascii="Times New Roman" w:hAnsi="Times New Roman" w:cs="Times New Roman"/>
        </w:rPr>
        <w:t xml:space="preserve">onstituent </w:t>
      </w:r>
      <w:r>
        <w:rPr>
          <w:rFonts w:ascii="Times New Roman" w:hAnsi="Times New Roman" w:cs="Times New Roman"/>
        </w:rPr>
        <w:t>C</w:t>
      </w:r>
      <w:r w:rsidRPr="00F31292">
        <w:rPr>
          <w:rFonts w:ascii="Times New Roman" w:hAnsi="Times New Roman" w:cs="Times New Roman"/>
        </w:rPr>
        <w:t>orpuscles that, in case it were duly appl</w:t>
      </w:r>
      <w:r>
        <w:rPr>
          <w:rFonts w:ascii="Times New Roman" w:hAnsi="Times New Roman" w:cs="Times New Roman"/>
        </w:rPr>
        <w:t>y’d</w:t>
      </w:r>
      <w:r w:rsidRPr="00F31292">
        <w:rPr>
          <w:rFonts w:ascii="Times New Roman" w:hAnsi="Times New Roman" w:cs="Times New Roman"/>
        </w:rPr>
        <w:t xml:space="preserve"> to the </w:t>
      </w:r>
      <w:r>
        <w:rPr>
          <w:rFonts w:ascii="Times New Roman" w:hAnsi="Times New Roman" w:cs="Times New Roman"/>
        </w:rPr>
        <w:t>S</w:t>
      </w:r>
      <w:r w:rsidRPr="00F31292">
        <w:rPr>
          <w:rFonts w:ascii="Times New Roman" w:hAnsi="Times New Roman" w:cs="Times New Roman"/>
        </w:rPr>
        <w:t xml:space="preserve">ensory of an </w:t>
      </w:r>
      <w:r>
        <w:rPr>
          <w:rFonts w:ascii="Times New Roman" w:hAnsi="Times New Roman" w:cs="Times New Roman"/>
        </w:rPr>
        <w:t>A</w:t>
      </w:r>
      <w:r w:rsidRPr="00F31292">
        <w:rPr>
          <w:rFonts w:ascii="Times New Roman" w:hAnsi="Times New Roman" w:cs="Times New Roman"/>
        </w:rPr>
        <w:t xml:space="preserve">nimal, it would produce such a sensible </w:t>
      </w:r>
      <w:r>
        <w:rPr>
          <w:rFonts w:ascii="Times New Roman" w:hAnsi="Times New Roman" w:cs="Times New Roman"/>
        </w:rPr>
        <w:t>Q</w:t>
      </w:r>
      <w:r w:rsidRPr="00F31292">
        <w:rPr>
          <w:rFonts w:ascii="Times New Roman" w:hAnsi="Times New Roman" w:cs="Times New Roman"/>
        </w:rPr>
        <w:t>uality</w:t>
      </w:r>
      <w:r>
        <w:rPr>
          <w:rFonts w:ascii="Times New Roman" w:hAnsi="Times New Roman" w:cs="Times New Roman"/>
        </w:rPr>
        <w:t>,</w:t>
      </w:r>
      <w:r w:rsidRPr="00F31292">
        <w:rPr>
          <w:rFonts w:ascii="Times New Roman" w:hAnsi="Times New Roman" w:cs="Times New Roman"/>
        </w:rPr>
        <w:t xml:space="preserve"> which a </w:t>
      </w:r>
      <w:r>
        <w:rPr>
          <w:rFonts w:ascii="Times New Roman" w:hAnsi="Times New Roman" w:cs="Times New Roman"/>
        </w:rPr>
        <w:t>B</w:t>
      </w:r>
      <w:r w:rsidRPr="00F31292">
        <w:rPr>
          <w:rFonts w:ascii="Times New Roman" w:hAnsi="Times New Roman" w:cs="Times New Roman"/>
        </w:rPr>
        <w:t xml:space="preserve">ody of another </w:t>
      </w:r>
      <w:r>
        <w:rPr>
          <w:rFonts w:ascii="Times New Roman" w:hAnsi="Times New Roman" w:cs="Times New Roman"/>
        </w:rPr>
        <w:t>T</w:t>
      </w:r>
      <w:r w:rsidRPr="00F31292">
        <w:rPr>
          <w:rFonts w:ascii="Times New Roman" w:hAnsi="Times New Roman" w:cs="Times New Roman"/>
        </w:rPr>
        <w:t>exture would not” (</w:t>
      </w:r>
      <w:r w:rsidRPr="00F31292">
        <w:rPr>
          <w:rFonts w:ascii="Times New Roman" w:hAnsi="Times New Roman" w:cs="Times New Roman"/>
          <w:i/>
          <w:iCs/>
        </w:rPr>
        <w:t>Origin</w:t>
      </w:r>
      <w:r>
        <w:rPr>
          <w:rFonts w:ascii="Times New Roman" w:hAnsi="Times New Roman" w:cs="Times New Roman"/>
          <w:i/>
          <w:iCs/>
        </w:rPr>
        <w:t>e</w:t>
      </w:r>
      <w:r w:rsidRPr="00F31292">
        <w:rPr>
          <w:rFonts w:ascii="Times New Roman" w:hAnsi="Times New Roman" w:cs="Times New Roman"/>
          <w:i/>
          <w:iCs/>
        </w:rPr>
        <w:t xml:space="preserve"> of Form</w:t>
      </w:r>
      <w:r>
        <w:rPr>
          <w:rFonts w:ascii="Times New Roman" w:hAnsi="Times New Roman" w:cs="Times New Roman"/>
          <w:i/>
          <w:iCs/>
        </w:rPr>
        <w:t>e</w:t>
      </w:r>
      <w:r w:rsidRPr="00F31292">
        <w:rPr>
          <w:rFonts w:ascii="Times New Roman" w:hAnsi="Times New Roman" w:cs="Times New Roman"/>
          <w:i/>
          <w:iCs/>
        </w:rPr>
        <w:t xml:space="preserve">s </w:t>
      </w:r>
      <w:r w:rsidRPr="00F31292">
        <w:rPr>
          <w:rFonts w:ascii="Times New Roman" w:hAnsi="Times New Roman" w:cs="Times New Roman"/>
          <w:i/>
          <w:iCs/>
        </w:rPr>
        <w:lastRenderedPageBreak/>
        <w:t>and Qualities</w:t>
      </w:r>
      <w:r w:rsidRPr="00F31292">
        <w:rPr>
          <w:rFonts w:ascii="Times New Roman" w:hAnsi="Times New Roman" w:cs="Times New Roman"/>
        </w:rPr>
        <w:t xml:space="preserve">, </w:t>
      </w:r>
      <w:r>
        <w:rPr>
          <w:rFonts w:ascii="Times New Roman" w:hAnsi="Times New Roman" w:cs="Times New Roman"/>
        </w:rPr>
        <w:t>319</w:t>
      </w:r>
      <w:r w:rsidRPr="00F31292">
        <w:rPr>
          <w:rFonts w:ascii="Times New Roman" w:hAnsi="Times New Roman" w:cs="Times New Roman"/>
        </w:rPr>
        <w:t xml:space="preserve">). Here, Boyle uses </w:t>
      </w:r>
      <w:r>
        <w:rPr>
          <w:rFonts w:ascii="Times New Roman" w:hAnsi="Times New Roman" w:cs="Times New Roman"/>
        </w:rPr>
        <w:t>‘</w:t>
      </w:r>
      <w:r w:rsidRPr="00F31292">
        <w:rPr>
          <w:rFonts w:ascii="Times New Roman" w:hAnsi="Times New Roman" w:cs="Times New Roman"/>
        </w:rPr>
        <w:t>sensible quality</w:t>
      </w:r>
      <w:r>
        <w:rPr>
          <w:rFonts w:ascii="Times New Roman" w:hAnsi="Times New Roman" w:cs="Times New Roman"/>
        </w:rPr>
        <w:t>’</w:t>
      </w:r>
      <w:r w:rsidRPr="00F31292">
        <w:rPr>
          <w:rFonts w:ascii="Times New Roman" w:hAnsi="Times New Roman" w:cs="Times New Roman"/>
        </w:rPr>
        <w:t xml:space="preserve"> to signify a sensation produced by the corpuscular texture of a body.</w:t>
      </w:r>
      <w:r w:rsidRPr="00F31292">
        <w:rPr>
          <w:rStyle w:val="FootnoteReference"/>
          <w:rFonts w:ascii="Times New Roman" w:hAnsi="Times New Roman" w:cs="Times New Roman"/>
        </w:rPr>
        <w:footnoteReference w:id="26"/>
      </w:r>
      <w:r w:rsidRPr="00F31292">
        <w:rPr>
          <w:rFonts w:ascii="Times New Roman" w:hAnsi="Times New Roman" w:cs="Times New Roman"/>
        </w:rPr>
        <w:t xml:space="preserve"> Malebranche explicitly endorses the view that secondary-quality terms are ambiguous: “If by heat, color, flavor, you mean such and such a movement of insensible parts, then fire is hot, grass green, sugar sweet. But if by heat and the other qualities you mean what I feel near fire, what I see when I see grass, </w:t>
      </w:r>
      <w:r>
        <w:rPr>
          <w:rFonts w:ascii="Times New Roman" w:hAnsi="Times New Roman" w:cs="Times New Roman"/>
        </w:rPr>
        <w:t>and so forth,</w:t>
      </w:r>
      <w:r w:rsidRPr="00F31292">
        <w:rPr>
          <w:rFonts w:ascii="Times New Roman" w:hAnsi="Times New Roman" w:cs="Times New Roman"/>
        </w:rPr>
        <w:t xml:space="preserve"> then fire is not hot at all, nor is grass green” (</w:t>
      </w:r>
      <w:r w:rsidRPr="00F31292">
        <w:rPr>
          <w:rFonts w:ascii="Times New Roman" w:hAnsi="Times New Roman" w:cs="Times New Roman"/>
          <w:i/>
          <w:iCs/>
        </w:rPr>
        <w:t>Search after Truth</w:t>
      </w:r>
      <w:r w:rsidRPr="00F31292">
        <w:rPr>
          <w:rFonts w:ascii="Times New Roman" w:hAnsi="Times New Roman" w:cs="Times New Roman"/>
        </w:rPr>
        <w:t>, 441).</w:t>
      </w:r>
      <w:r w:rsidRPr="00F31292">
        <w:rPr>
          <w:rStyle w:val="FootnoteReference"/>
          <w:rFonts w:ascii="Times New Roman" w:hAnsi="Times New Roman" w:cs="Times New Roman"/>
        </w:rPr>
        <w:footnoteReference w:id="27"/>
      </w:r>
      <w:r w:rsidRPr="00F31292">
        <w:rPr>
          <w:rFonts w:ascii="Times New Roman" w:hAnsi="Times New Roman" w:cs="Times New Roman"/>
        </w:rPr>
        <w:t xml:space="preserve"> Moreover, these authors each affirm that perceptual colors do not resemble bodies. Hume’s description of the negative commitment appears not confused but incomplete. He omits one central claim of proponents of the distinction: that colors, properly so-called, are dispositional colors. But he accurately describes another of their commitments with respect to secondary qualities: perceptual colors do not resemble bodies.</w:t>
      </w:r>
    </w:p>
    <w:p w14:paraId="365B5283" w14:textId="2D2C1506"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We can also challenge the claim that Hume’s statement of the negative commitment omits a central claim of the position he intends to characterize. Not all proponents of the primary/secondary distinction hold that colors are properly dispositional colors. In his correspondence with Collins, Clarke holds that secondary qualities “do [not] reside in, or at all result from, the whole System [of matter], in </w:t>
      </w:r>
      <w:r w:rsidRPr="00F31292">
        <w:rPr>
          <w:rFonts w:ascii="Times New Roman" w:hAnsi="Times New Roman" w:cs="Times New Roman"/>
          <w:i/>
          <w:iCs/>
        </w:rPr>
        <w:t>any proper Sense</w:t>
      </w:r>
      <w:r w:rsidRPr="00F31292">
        <w:rPr>
          <w:rFonts w:ascii="Times New Roman" w:hAnsi="Times New Roman" w:cs="Times New Roman"/>
        </w:rPr>
        <w:t>” (</w:t>
      </w:r>
      <w:r w:rsidRPr="00F31292">
        <w:rPr>
          <w:rFonts w:ascii="Times New Roman" w:hAnsi="Times New Roman" w:cs="Times New Roman"/>
          <w:i/>
          <w:iCs/>
        </w:rPr>
        <w:t>Defence of an Argument</w:t>
      </w:r>
      <w:r w:rsidRPr="00F31292">
        <w:rPr>
          <w:rFonts w:ascii="Times New Roman" w:hAnsi="Times New Roman" w:cs="Times New Roman"/>
        </w:rPr>
        <w:t xml:space="preserve">, 93). Clarke departs from Locke and Boyle in denying that secondary qualities are powers to produce sensations: “Neither in </w:t>
      </w:r>
      <w:r w:rsidRPr="00F31292">
        <w:rPr>
          <w:rFonts w:ascii="Times New Roman" w:hAnsi="Times New Roman" w:cs="Times New Roman"/>
          <w:i/>
          <w:iCs/>
        </w:rPr>
        <w:t>any Sense at all</w:t>
      </w:r>
      <w:r w:rsidRPr="00F31292">
        <w:rPr>
          <w:rFonts w:ascii="Times New Roman" w:hAnsi="Times New Roman" w:cs="Times New Roman"/>
        </w:rPr>
        <w:t xml:space="preserve">, in which [secondary qualities] can be ascribed to that Body or System of Matter to which they are vulgarly supposed to belong, are they truly </w:t>
      </w:r>
      <w:r w:rsidRPr="00F31292">
        <w:rPr>
          <w:rFonts w:ascii="Times New Roman" w:hAnsi="Times New Roman" w:cs="Times New Roman"/>
          <w:i/>
          <w:iCs/>
        </w:rPr>
        <w:t>Individual Powers</w:t>
      </w:r>
      <w:r w:rsidRPr="00F31292">
        <w:rPr>
          <w:rFonts w:ascii="Times New Roman" w:hAnsi="Times New Roman" w:cs="Times New Roman"/>
        </w:rPr>
        <w:t>” (</w:t>
      </w:r>
      <w:r w:rsidRPr="00F31292">
        <w:rPr>
          <w:rFonts w:ascii="Times New Roman" w:hAnsi="Times New Roman" w:cs="Times New Roman"/>
          <w:i/>
          <w:iCs/>
        </w:rPr>
        <w:t>Defence of an Argument</w:t>
      </w:r>
      <w:r w:rsidRPr="00F31292">
        <w:rPr>
          <w:rFonts w:ascii="Times New Roman" w:hAnsi="Times New Roman" w:cs="Times New Roman"/>
        </w:rPr>
        <w:t xml:space="preserve">, 93).  Instead, the secondary qualities of bodies are merely </w:t>
      </w:r>
      <w:r w:rsidRPr="00F31292">
        <w:rPr>
          <w:rFonts w:ascii="Times New Roman" w:hAnsi="Times New Roman" w:cs="Times New Roman"/>
        </w:rPr>
        <w:lastRenderedPageBreak/>
        <w:t>“</w:t>
      </w:r>
      <w:r w:rsidRPr="00F31292">
        <w:rPr>
          <w:rFonts w:ascii="Times New Roman" w:hAnsi="Times New Roman" w:cs="Times New Roman"/>
          <w:i/>
          <w:iCs/>
        </w:rPr>
        <w:t>Effects</w:t>
      </w:r>
      <w:r w:rsidRPr="00F31292">
        <w:rPr>
          <w:rFonts w:ascii="Times New Roman" w:hAnsi="Times New Roman" w:cs="Times New Roman"/>
        </w:rPr>
        <w:t xml:space="preserve"> occasionally produced by it in some other Substance” (</w:t>
      </w:r>
      <w:r w:rsidRPr="00F31292">
        <w:rPr>
          <w:rFonts w:ascii="Times New Roman" w:hAnsi="Times New Roman" w:cs="Times New Roman"/>
          <w:i/>
          <w:iCs/>
        </w:rPr>
        <w:t>Defence of an Argument</w:t>
      </w:r>
      <w:r w:rsidRPr="00F31292">
        <w:rPr>
          <w:rFonts w:ascii="Times New Roman" w:hAnsi="Times New Roman" w:cs="Times New Roman"/>
        </w:rPr>
        <w:t>, 94).  Clarke holds that secondary qualities are merely modes of thinking substance and, accordingly, departs from Locke and Boyle in identifying colors with perceptual colors.</w:t>
      </w:r>
      <w:r w:rsidRPr="00F31292">
        <w:rPr>
          <w:rStyle w:val="FootnoteReference"/>
          <w:rFonts w:ascii="Times New Roman" w:hAnsi="Times New Roman" w:cs="Times New Roman"/>
        </w:rPr>
        <w:footnoteReference w:id="28"/>
      </w:r>
      <w:r w:rsidRPr="00F31292">
        <w:rPr>
          <w:rFonts w:ascii="Times New Roman" w:hAnsi="Times New Roman" w:cs="Times New Roman"/>
        </w:rPr>
        <w:t xml:space="preserve"> Hume’s characterization of the negative commitment of the modern philosophy is consistent with one prominent version of the primary/secondary distinction.</w:t>
      </w:r>
    </w:p>
    <w:p w14:paraId="2200CF5A" w14:textId="0F2F4FF0"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Hume may have neglected to discuss the account of secondary qualities according to which colors are dispositional colors because he was concerned to characterize a different version of the primary/secondary distinction. Another (compatible) explanation is that such an account is irrelevant to the skeptical argument in MP’s second phase. When a perceiver has an occurrent sensory impression of color, she is acquainted with an instance of phenomenal color. Phenomenal colors are properties of sensory impressions: perceptual colors. As stated by Hume, the negative commitment holds that bodies lack phenomenal color. Locke and Boyle are committed to this claim, regardless of their identification of colors with dispositional colors. MP’s skeptical argument applies to any account of body according to which phenomenal colors are to be excluded from the idea of body. Hume’s neglecting to consider Locke’s and Boyle’s identification of colors with dispositional colors has no bearing on the soundness of his skeptical argument.</w:t>
      </w:r>
    </w:p>
    <w:bookmarkEnd w:id="2"/>
    <w:p w14:paraId="568F8C6F" w14:textId="03193A45" w:rsidR="00F959A0" w:rsidRPr="00F959A0" w:rsidRDefault="00F959A0" w:rsidP="00F959A0">
      <w:pPr>
        <w:pStyle w:val="Heading1"/>
        <w:spacing w:before="240" w:after="120" w:line="480" w:lineRule="auto"/>
        <w:jc w:val="both"/>
        <w:rPr>
          <w:rFonts w:ascii="Times New Roman" w:hAnsi="Times New Roman" w:cs="Times New Roman"/>
          <w:color w:val="000000" w:themeColor="text1"/>
          <w:sz w:val="24"/>
          <w:szCs w:val="24"/>
        </w:rPr>
      </w:pPr>
      <w:r w:rsidRPr="00F959A0">
        <w:rPr>
          <w:rFonts w:ascii="Times New Roman" w:hAnsi="Times New Roman" w:cs="Times New Roman"/>
          <w:color w:val="000000" w:themeColor="text1"/>
          <w:sz w:val="24"/>
          <w:szCs w:val="24"/>
        </w:rPr>
        <w:t>4. MP’s Skeptical Argument</w:t>
      </w:r>
    </w:p>
    <w:p w14:paraId="4A747842" w14:textId="1AC4F22B" w:rsidR="00F959A0" w:rsidRPr="00F31292" w:rsidRDefault="00F959A0" w:rsidP="00F959A0">
      <w:pPr>
        <w:pStyle w:val="FirstParagraph"/>
        <w:spacing w:before="0" w:after="0" w:line="480" w:lineRule="auto"/>
        <w:jc w:val="both"/>
        <w:rPr>
          <w:rFonts w:ascii="Times New Roman" w:hAnsi="Times New Roman" w:cs="Times New Roman"/>
        </w:rPr>
      </w:pPr>
      <w:r w:rsidRPr="00F31292">
        <w:rPr>
          <w:rFonts w:ascii="Times New Roman" w:hAnsi="Times New Roman" w:cs="Times New Roman"/>
        </w:rPr>
        <w:t>The first phase of MP concludes with Hume’s drawing a consequence from the negative commitment: “upon the removal of sounds, colours, heat, cold, and other sensible qualities, from the rank of continu’d independent existences, we are reduc’d merely to what are call’d primary qualities, as the only real ones, of which we have any adequate notion” (</w:t>
      </w:r>
      <w:r w:rsidRPr="00F31292">
        <w:rPr>
          <w:rFonts w:ascii="Times New Roman" w:hAnsi="Times New Roman" w:cs="Times New Roman"/>
          <w:i/>
          <w:iCs/>
        </w:rPr>
        <w:t>T</w:t>
      </w:r>
      <w:r w:rsidRPr="00F31292">
        <w:rPr>
          <w:rFonts w:ascii="Times New Roman" w:hAnsi="Times New Roman" w:cs="Times New Roman"/>
        </w:rPr>
        <w:t xml:space="preserve"> 1.4.4.5). According to </w:t>
      </w:r>
      <w:r w:rsidRPr="00F31292">
        <w:rPr>
          <w:rFonts w:ascii="Times New Roman" w:hAnsi="Times New Roman" w:cs="Times New Roman"/>
        </w:rPr>
        <w:lastRenderedPageBreak/>
        <w:t>the positive commitment of the modern philosophy, a sensible quality belongs to a body and, accordingly, exhibits continued and distinct existence only if it is a primary quality: “extension and solidity, with their different mixtures and modifications; figure, motion, gravity, and cohesion” (</w:t>
      </w:r>
      <w:r w:rsidRPr="00F31292">
        <w:rPr>
          <w:rFonts w:ascii="Times New Roman" w:hAnsi="Times New Roman" w:cs="Times New Roman"/>
          <w:i/>
          <w:iCs/>
        </w:rPr>
        <w:t>T</w:t>
      </w:r>
      <w:r w:rsidRPr="00F31292">
        <w:rPr>
          <w:rFonts w:ascii="Times New Roman" w:hAnsi="Times New Roman" w:cs="Times New Roman"/>
        </w:rPr>
        <w:t xml:space="preserve"> 1.4.4.5). The modern philosophy holds that we have an “adequate notion” of these qualities. The second phase of MP presents a skeptical argument that is “very decisive” against the modern philosophy (</w:t>
      </w:r>
      <w:r w:rsidRPr="00F31292">
        <w:rPr>
          <w:rFonts w:ascii="Times New Roman" w:hAnsi="Times New Roman" w:cs="Times New Roman"/>
          <w:i/>
          <w:iCs/>
        </w:rPr>
        <w:t>T</w:t>
      </w:r>
      <w:r w:rsidRPr="00F31292">
        <w:rPr>
          <w:rFonts w:ascii="Times New Roman" w:hAnsi="Times New Roman" w:cs="Times New Roman"/>
        </w:rPr>
        <w:t xml:space="preserve"> 1.4.4.6).</w:t>
      </w:r>
    </w:p>
    <w:p w14:paraId="688B1802" w14:textId="7AA2AEAF"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What is the scope of MP’s skeptical argument? To what accounts of body does it apply? On the one hand, Hume begins the argument with a statement of its conclusion: “If colours, sounds, tastes, and smells be merely perceptions, nothing we can conceive is possest of a real, continu’d, and independent existence; not even motion, extension and solidity, which are the primary qualities chiefly insisted on” (</w:t>
      </w:r>
      <w:r w:rsidRPr="00F31292">
        <w:rPr>
          <w:rFonts w:ascii="Times New Roman" w:hAnsi="Times New Roman" w:cs="Times New Roman"/>
          <w:i/>
          <w:iCs/>
        </w:rPr>
        <w:t>T</w:t>
      </w:r>
      <w:r w:rsidRPr="00F31292">
        <w:rPr>
          <w:rFonts w:ascii="Times New Roman" w:hAnsi="Times New Roman" w:cs="Times New Roman"/>
        </w:rPr>
        <w:t xml:space="preserve"> 1.4.4.6). Because to have a conception of body is to conceive of a collection of sensible qualities as enjoying continued and distinct existence, Hume’s claim is that the negative commitment itself implies that body is inconceivable. This passage suggests the </w:t>
      </w:r>
      <w:r w:rsidRPr="00F31292">
        <w:rPr>
          <w:rFonts w:ascii="Times New Roman" w:hAnsi="Times New Roman" w:cs="Times New Roman"/>
          <w:i/>
          <w:iCs/>
        </w:rPr>
        <w:t>wide reading</w:t>
      </w:r>
      <w:r w:rsidRPr="00F31292">
        <w:rPr>
          <w:rFonts w:ascii="Times New Roman" w:hAnsi="Times New Roman" w:cs="Times New Roman"/>
        </w:rPr>
        <w:t xml:space="preserve"> of the argument’s scope, according to which the argument applies to </w:t>
      </w:r>
      <w:r w:rsidRPr="00F31292">
        <w:rPr>
          <w:rFonts w:ascii="Times New Roman" w:hAnsi="Times New Roman" w:cs="Times New Roman"/>
          <w:i/>
          <w:iCs/>
        </w:rPr>
        <w:t>any</w:t>
      </w:r>
      <w:r w:rsidRPr="00F31292">
        <w:rPr>
          <w:rFonts w:ascii="Times New Roman" w:hAnsi="Times New Roman" w:cs="Times New Roman"/>
        </w:rPr>
        <w:t xml:space="preserve"> account of body that accepts the negative commitment. On the other hand, we will see that Hume uses both the negative and positive commitments in support of the premises of the skeptical argument. This suggests the </w:t>
      </w:r>
      <w:r w:rsidRPr="00F31292">
        <w:rPr>
          <w:rFonts w:ascii="Times New Roman" w:hAnsi="Times New Roman" w:cs="Times New Roman"/>
          <w:i/>
          <w:iCs/>
        </w:rPr>
        <w:t>narrow reading</w:t>
      </w:r>
      <w:r w:rsidRPr="00F31292">
        <w:rPr>
          <w:rFonts w:ascii="Times New Roman" w:hAnsi="Times New Roman" w:cs="Times New Roman"/>
        </w:rPr>
        <w:t xml:space="preserve"> of the argument’s scope, according to which the skeptical argument does not apply to all accounts of body that accept the negative commitment but rather to a subset of such accounts: those that accept </w:t>
      </w:r>
      <w:r w:rsidRPr="00F31292">
        <w:rPr>
          <w:rFonts w:ascii="Times New Roman" w:hAnsi="Times New Roman" w:cs="Times New Roman"/>
          <w:i/>
          <w:iCs/>
        </w:rPr>
        <w:t>both</w:t>
      </w:r>
      <w:r w:rsidRPr="00F31292">
        <w:rPr>
          <w:rFonts w:ascii="Times New Roman" w:hAnsi="Times New Roman" w:cs="Times New Roman"/>
        </w:rPr>
        <w:t xml:space="preserve"> the negative and positive commitments.</w:t>
      </w:r>
    </w:p>
    <w:p w14:paraId="5C9FC5D8" w14:textId="3681FBC3"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central question by which to determine whether the wide or narrow reading is correct is: does the negative commitment, in Hume’s view, entail the positive commitment? If the answer is affirmative, then the class of accounts to which, according to the narrow reading, the skeptical argument does not apply—accounts of body that accept the negative commitment but deny the </w:t>
      </w:r>
      <w:r w:rsidRPr="00F31292">
        <w:rPr>
          <w:rFonts w:ascii="Times New Roman" w:hAnsi="Times New Roman" w:cs="Times New Roman"/>
        </w:rPr>
        <w:lastRenderedPageBreak/>
        <w:t>positive commitment—is empty. When introducing the positive commitment, Hume says that it “seem[s] to follow by an easy consequence” from the negative commitment (</w:t>
      </w:r>
      <w:r w:rsidRPr="00F31292">
        <w:rPr>
          <w:rFonts w:ascii="Times New Roman" w:hAnsi="Times New Roman" w:cs="Times New Roman"/>
          <w:i/>
          <w:iCs/>
        </w:rPr>
        <w:t>T</w:t>
      </w:r>
      <w:r w:rsidRPr="00F31292">
        <w:rPr>
          <w:rFonts w:ascii="Times New Roman" w:hAnsi="Times New Roman" w:cs="Times New Roman"/>
        </w:rPr>
        <w:t xml:space="preserve"> 1.4.4.5). This suggests that he takes the negative commitment to entail the positive commitment. But several scholars have taken Hume’s use of “seem” to suggest that he denies that the negative commitment entails the positive commitment.</w:t>
      </w:r>
      <w:r w:rsidRPr="00F31292">
        <w:rPr>
          <w:rStyle w:val="FootnoteReference"/>
          <w:rFonts w:ascii="Times New Roman" w:hAnsi="Times New Roman" w:cs="Times New Roman"/>
        </w:rPr>
        <w:footnoteReference w:id="29"/>
      </w:r>
    </w:p>
    <w:p w14:paraId="1A7C966A" w14:textId="2FE7D37A"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I argue that the positive commitment is, by Hume’s lights, an entailment of the negative commitment. </w:t>
      </w:r>
      <w:r w:rsidRPr="00F31292">
        <w:rPr>
          <w:rFonts w:ascii="Times New Roman" w:hAnsi="Times New Roman" w:cs="Times New Roman"/>
          <w:i/>
          <w:iCs/>
        </w:rPr>
        <w:t>T</w:t>
      </w:r>
      <w:r w:rsidRPr="00F31292">
        <w:rPr>
          <w:rFonts w:ascii="Times New Roman" w:hAnsi="Times New Roman" w:cs="Times New Roman"/>
        </w:rPr>
        <w:t xml:space="preserve"> 1.4.2 makes an exhaustive distinction between three classes of sensory impressions. The first class includes impressions of primary qualities: “those of the figure, bulk, motion and solidity of bodies” (</w:t>
      </w:r>
      <w:r w:rsidRPr="00F31292">
        <w:rPr>
          <w:rFonts w:ascii="Times New Roman" w:hAnsi="Times New Roman" w:cs="Times New Roman"/>
          <w:i/>
          <w:iCs/>
        </w:rPr>
        <w:t>T</w:t>
      </w:r>
      <w:r w:rsidRPr="00F31292">
        <w:rPr>
          <w:rFonts w:ascii="Times New Roman" w:hAnsi="Times New Roman" w:cs="Times New Roman"/>
        </w:rPr>
        <w:t xml:space="preserve"> 1.4.2.12). The second class includes impressions of secondary qualities: “those of colours, tastes, smells, sounds, heat and cold” (</w:t>
      </w:r>
      <w:r w:rsidRPr="00F31292">
        <w:rPr>
          <w:rFonts w:ascii="Times New Roman" w:hAnsi="Times New Roman" w:cs="Times New Roman"/>
          <w:i/>
          <w:iCs/>
        </w:rPr>
        <w:t>T</w:t>
      </w:r>
      <w:r w:rsidRPr="00F31292">
        <w:rPr>
          <w:rFonts w:ascii="Times New Roman" w:hAnsi="Times New Roman" w:cs="Times New Roman"/>
        </w:rPr>
        <w:t xml:space="preserve"> 1.4.2.12). And the third class includes “the pains and pleasures, that arise from the application of objects to our bodies” (</w:t>
      </w:r>
      <w:r w:rsidRPr="00F31292">
        <w:rPr>
          <w:rFonts w:ascii="Times New Roman" w:hAnsi="Times New Roman" w:cs="Times New Roman"/>
          <w:i/>
          <w:iCs/>
        </w:rPr>
        <w:t>T</w:t>
      </w:r>
      <w:r w:rsidRPr="00F31292">
        <w:rPr>
          <w:rFonts w:ascii="Times New Roman" w:hAnsi="Times New Roman" w:cs="Times New Roman"/>
        </w:rPr>
        <w:t xml:space="preserve"> 1.4.2.12). The first two classes of impressions include all and only impressions of items that Hume calls “qualities.” For any quality, we have an impression of a quality just in case an impression of that quality is included in either of those two classes. Further, for any quality, we have an idea of a quality just in case that idea is copied from an impression included in the first two classes. Thus, we have an idea of a quality just in case the quality is either a primary quality or a secondary quality. Moreover, an idea of body is an idea of a bundle of qualities (</w:t>
      </w:r>
      <w:r w:rsidRPr="00F31292">
        <w:rPr>
          <w:rFonts w:ascii="Times New Roman" w:hAnsi="Times New Roman" w:cs="Times New Roman"/>
          <w:i/>
          <w:iCs/>
        </w:rPr>
        <w:t>T</w:t>
      </w:r>
      <w:r w:rsidRPr="00F31292">
        <w:rPr>
          <w:rFonts w:ascii="Times New Roman" w:hAnsi="Times New Roman" w:cs="Times New Roman"/>
        </w:rPr>
        <w:t xml:space="preserve"> 1.4.3.2). This and the distinction from </w:t>
      </w:r>
      <w:r w:rsidRPr="00F31292">
        <w:rPr>
          <w:rFonts w:ascii="Times New Roman" w:hAnsi="Times New Roman" w:cs="Times New Roman"/>
          <w:i/>
          <w:iCs/>
        </w:rPr>
        <w:t>T</w:t>
      </w:r>
      <w:r w:rsidRPr="00F31292">
        <w:rPr>
          <w:rFonts w:ascii="Times New Roman" w:hAnsi="Times New Roman" w:cs="Times New Roman"/>
        </w:rPr>
        <w:t xml:space="preserve"> 1.4.2 imply that any idea of body must be of one of three kinds: any idea of body either (i) includes both primary and secondary qualities, (ii) includes only primary qualities, or (iii) includes only secondary qualities. The negative commitment implies the rejection of (i) and (iii), and so it implies that the idea of body must be of kind (ii). And to conceive of body in this </w:t>
      </w:r>
      <w:r w:rsidRPr="00F31292">
        <w:rPr>
          <w:rFonts w:ascii="Times New Roman" w:hAnsi="Times New Roman" w:cs="Times New Roman"/>
        </w:rPr>
        <w:lastRenderedPageBreak/>
        <w:t>way is just to accept the positive commitment of the modern philosophy: primary qualities are the only qualities to be attributed to bodies. The positive commitment is a deductive consequence of the negative commitment, coupled with other claims to which Hume is committed.</w:t>
      </w:r>
    </w:p>
    <w:p w14:paraId="1E69E230" w14:textId="1B322005"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narrow reading holds that MP’s skeptical argument does not apply to accounts of body that accept the negative commitment but deny the positive commitment. Because the negative commitment, in Hume’s view, entails the positive commitment, he holds that this class is empty. The narrow reading of the argument’s scope should be rejected in favor of the wide reading. The latter implies that the argument of MP is exhaustive: it applies to </w:t>
      </w:r>
      <w:r>
        <w:rPr>
          <w:rFonts w:ascii="Times New Roman" w:hAnsi="Times New Roman" w:cs="Times New Roman"/>
        </w:rPr>
        <w:t>any account</w:t>
      </w:r>
      <w:r w:rsidRPr="00F31292">
        <w:rPr>
          <w:rFonts w:ascii="Times New Roman" w:hAnsi="Times New Roman" w:cs="Times New Roman"/>
        </w:rPr>
        <w:t xml:space="preserve"> of body whatever. The first phase provides an inductive proof of the negative commitment. This proof functions as an argument against any account of body that </w:t>
      </w:r>
      <w:r w:rsidRPr="005C5951">
        <w:rPr>
          <w:rFonts w:ascii="Times New Roman" w:hAnsi="Times New Roman" w:cs="Times New Roman"/>
        </w:rPr>
        <w:t>denies</w:t>
      </w:r>
      <w:r w:rsidRPr="00F31292">
        <w:rPr>
          <w:rFonts w:ascii="Times New Roman" w:hAnsi="Times New Roman" w:cs="Times New Roman"/>
        </w:rPr>
        <w:t xml:space="preserve"> the negative commitment. And the skeptical argument of MP’s second phase targets any account of body that </w:t>
      </w:r>
      <w:r w:rsidRPr="005C5951">
        <w:rPr>
          <w:rFonts w:ascii="Times New Roman" w:hAnsi="Times New Roman" w:cs="Times New Roman"/>
        </w:rPr>
        <w:t>accepts</w:t>
      </w:r>
      <w:r w:rsidRPr="00F31292">
        <w:rPr>
          <w:rFonts w:ascii="Times New Roman" w:hAnsi="Times New Roman" w:cs="Times New Roman"/>
        </w:rPr>
        <w:t xml:space="preserve"> the negative commitment.</w:t>
      </w:r>
    </w:p>
    <w:p w14:paraId="70B919D2" w14:textId="70EBD69C" w:rsidR="00F959A0" w:rsidRPr="00F31292"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Jointly, the negative and positive commitments imply that bodies may only be understood as having primary qualities but lacking secondary qualities. I call body so understood </w:t>
      </w:r>
      <w:r w:rsidRPr="00F31292">
        <w:rPr>
          <w:rFonts w:ascii="Times New Roman" w:hAnsi="Times New Roman" w:cs="Times New Roman"/>
          <w:i/>
          <w:iCs/>
        </w:rPr>
        <w:t>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The skeptical argument of MP’s second phase aims to establish a claim about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Distinguish three conclusions that the argument might been understood to reach. First, its conclusion might be </w:t>
      </w:r>
      <w:r w:rsidRPr="005C5951">
        <w:rPr>
          <w:rFonts w:ascii="Times New Roman" w:hAnsi="Times New Roman" w:cs="Times New Roman"/>
        </w:rPr>
        <w:t>conceptual</w:t>
      </w:r>
      <w:r w:rsidRPr="00F31292">
        <w:rPr>
          <w:rFonts w:ascii="Times New Roman" w:hAnsi="Times New Roman" w:cs="Times New Roman"/>
        </w:rPr>
        <w: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suffers from a conceptual defect. Second, its conclusion might be </w:t>
      </w:r>
      <w:r w:rsidRPr="005C5951">
        <w:rPr>
          <w:rFonts w:ascii="Times New Roman" w:hAnsi="Times New Roman" w:cs="Times New Roman"/>
        </w:rPr>
        <w:t>metaphysical</w:t>
      </w:r>
      <w:r w:rsidRPr="00F31292">
        <w:rPr>
          <w:rFonts w:ascii="Times New Roman" w:hAnsi="Times New Roman" w:cs="Times New Roman"/>
        </w:rPr>
        <w: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does not exist. Third, its conclusion might be </w:t>
      </w:r>
      <w:r w:rsidRPr="005C5951">
        <w:rPr>
          <w:rFonts w:ascii="Times New Roman" w:hAnsi="Times New Roman" w:cs="Times New Roman"/>
        </w:rPr>
        <w:t>epistemological</w:t>
      </w:r>
      <w:r w:rsidRPr="00F31292">
        <w:rPr>
          <w:rFonts w:ascii="Times New Roman" w:hAnsi="Times New Roman" w:cs="Times New Roman"/>
        </w:rPr>
        <w:t>: the belief in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lacks epistemic merit.</w:t>
      </w:r>
      <w:r w:rsidRPr="00F31292">
        <w:rPr>
          <w:rStyle w:val="FootnoteReference"/>
          <w:rFonts w:ascii="Times New Roman" w:hAnsi="Times New Roman" w:cs="Times New Roman"/>
        </w:rPr>
        <w:footnoteReference w:id="30"/>
      </w:r>
      <w:r w:rsidRPr="00F31292">
        <w:rPr>
          <w:rFonts w:ascii="Times New Roman" w:hAnsi="Times New Roman" w:cs="Times New Roman"/>
        </w:rPr>
        <w:t xml:space="preserve"> It is clear that, in the first place, MP’s skeptical argument aims to </w:t>
      </w:r>
      <w:r w:rsidRPr="00F31292">
        <w:rPr>
          <w:rFonts w:ascii="Times New Roman" w:hAnsi="Times New Roman" w:cs="Times New Roman"/>
        </w:rPr>
        <w:lastRenderedPageBreak/>
        <w:t>show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suffers from a conceptual defect. Hume says that the negative commitment implies that “nothing we can </w:t>
      </w:r>
      <w:r w:rsidRPr="00F31292">
        <w:rPr>
          <w:rFonts w:ascii="Times New Roman" w:hAnsi="Times New Roman" w:cs="Times New Roman"/>
          <w:i/>
          <w:iCs/>
        </w:rPr>
        <w:t>conceive</w:t>
      </w:r>
      <w:r w:rsidRPr="00F31292">
        <w:rPr>
          <w:rFonts w:ascii="Times New Roman" w:hAnsi="Times New Roman" w:cs="Times New Roman"/>
        </w:rPr>
        <w:t xml:space="preserve"> is possest of a real, continu’d, and independent existence; not even motion, extension and solidity” (</w:t>
      </w:r>
      <w:r w:rsidRPr="00F31292">
        <w:rPr>
          <w:rFonts w:ascii="Times New Roman" w:hAnsi="Times New Roman" w:cs="Times New Roman"/>
          <w:i/>
          <w:iCs/>
        </w:rPr>
        <w:t>T</w:t>
      </w:r>
      <w:r w:rsidRPr="00F31292">
        <w:rPr>
          <w:rFonts w:ascii="Times New Roman" w:hAnsi="Times New Roman" w:cs="Times New Roman"/>
        </w:rPr>
        <w:t xml:space="preserve"> 1.4.4.6, emphasis added). And he says that the modern philosophy implies that we have no “just and consistent idea of body” (</w:t>
      </w:r>
      <w:r w:rsidRPr="00F31292">
        <w:rPr>
          <w:rFonts w:ascii="Times New Roman" w:hAnsi="Times New Roman" w:cs="Times New Roman"/>
          <w:i/>
          <w:iCs/>
        </w:rPr>
        <w:t>T</w:t>
      </w:r>
      <w:r w:rsidRPr="00F31292">
        <w:rPr>
          <w:rFonts w:ascii="Times New Roman" w:hAnsi="Times New Roman" w:cs="Times New Roman"/>
        </w:rPr>
        <w:t xml:space="preserve"> 1.4.4.10).</w:t>
      </w:r>
    </w:p>
    <w:p w14:paraId="13350045" w14:textId="5FDEBA9D" w:rsidR="00F959A0" w:rsidRDefault="00F959A0" w:rsidP="00F959A0">
      <w:pPr>
        <w:pStyle w:val="FirstParagraph"/>
        <w:spacing w:before="0" w:after="0" w:line="480" w:lineRule="auto"/>
        <w:ind w:firstLine="720"/>
        <w:jc w:val="both"/>
        <w:rPr>
          <w:rFonts w:ascii="Times New Roman" w:hAnsi="Times New Roman" w:cs="Times New Roman"/>
        </w:rPr>
      </w:pPr>
      <w:r w:rsidRPr="00F31292">
        <w:rPr>
          <w:rFonts w:ascii="Times New Roman" w:hAnsi="Times New Roman" w:cs="Times New Roman"/>
        </w:rPr>
        <w:t>To see from what kind conceptual defect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suffers, let us consider the skeptical argument itself. The argument shows that the modern philosophy is committed to a triad:</w:t>
      </w:r>
    </w:p>
    <w:p w14:paraId="276968E2" w14:textId="4DA21D52" w:rsidR="00F959A0" w:rsidRPr="00681C21" w:rsidRDefault="00F959A0" w:rsidP="00F959A0">
      <w:pPr>
        <w:pStyle w:val="BodyText"/>
        <w:spacing w:line="480" w:lineRule="auto"/>
        <w:ind w:left="720"/>
        <w:jc w:val="both"/>
        <w:rPr>
          <w:rFonts w:ascii="Times New Roman" w:hAnsi="Times New Roman" w:cs="Times New Roman"/>
        </w:rPr>
      </w:pPr>
      <w:r w:rsidRPr="00681C21">
        <w:rPr>
          <w:rFonts w:ascii="Times New Roman" w:hAnsi="Times New Roman" w:cs="Times New Roman"/>
        </w:rPr>
        <w:t>(1) The idea of motion included in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681C21">
        <w:rPr>
          <w:rFonts w:ascii="Times New Roman" w:hAnsi="Times New Roman" w:cs="Times New Roman"/>
        </w:rPr>
        <w:t xml:space="preserve"> depends on either the idea of extension or the idea of solidity (</w:t>
      </w:r>
      <w:r w:rsidRPr="00681C21">
        <w:rPr>
          <w:rFonts w:ascii="Times New Roman" w:hAnsi="Times New Roman" w:cs="Times New Roman"/>
          <w:i/>
          <w:iCs/>
        </w:rPr>
        <w:t>T</w:t>
      </w:r>
      <w:r w:rsidRPr="00681C21">
        <w:rPr>
          <w:rFonts w:ascii="Times New Roman" w:hAnsi="Times New Roman" w:cs="Times New Roman"/>
        </w:rPr>
        <w:t xml:space="preserve"> 1.4.4.7).</w:t>
      </w:r>
    </w:p>
    <w:p w14:paraId="78A2A632" w14:textId="21648D36" w:rsidR="00F959A0" w:rsidRPr="00681C21" w:rsidRDefault="00F959A0" w:rsidP="00F959A0">
      <w:pPr>
        <w:pStyle w:val="BodyText"/>
        <w:spacing w:line="480" w:lineRule="auto"/>
        <w:ind w:left="720"/>
        <w:jc w:val="both"/>
        <w:rPr>
          <w:rFonts w:ascii="Times New Roman" w:hAnsi="Times New Roman" w:cs="Times New Roman"/>
        </w:rPr>
      </w:pPr>
      <w:r w:rsidRPr="00681C21">
        <w:rPr>
          <w:rFonts w:ascii="Times New Roman" w:hAnsi="Times New Roman" w:cs="Times New Roman"/>
        </w:rPr>
        <w:t>(2) The idea of extension included in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681C21">
        <w:rPr>
          <w:rFonts w:ascii="Times New Roman" w:hAnsi="Times New Roman" w:cs="Times New Roman"/>
        </w:rPr>
        <w:t xml:space="preserve"> depends on the idea of solidity (</w:t>
      </w:r>
      <w:r w:rsidRPr="00681C21">
        <w:rPr>
          <w:rFonts w:ascii="Times New Roman" w:hAnsi="Times New Roman" w:cs="Times New Roman"/>
          <w:i/>
          <w:iCs/>
        </w:rPr>
        <w:t>T</w:t>
      </w:r>
      <w:r w:rsidRPr="00681C21">
        <w:rPr>
          <w:rFonts w:ascii="Times New Roman" w:hAnsi="Times New Roman" w:cs="Times New Roman"/>
        </w:rPr>
        <w:t xml:space="preserve"> 1.4.4.8).</w:t>
      </w:r>
    </w:p>
    <w:p w14:paraId="328ED311" w14:textId="37344DCB" w:rsidR="00F959A0" w:rsidRPr="00681C21" w:rsidRDefault="00F959A0" w:rsidP="00F959A0">
      <w:pPr>
        <w:pStyle w:val="BodyText"/>
        <w:spacing w:line="480" w:lineRule="auto"/>
        <w:ind w:left="720"/>
        <w:jc w:val="both"/>
        <w:rPr>
          <w:rFonts w:ascii="Times New Roman" w:hAnsi="Times New Roman" w:cs="Times New Roman"/>
        </w:rPr>
      </w:pPr>
      <w:r w:rsidRPr="00681C21">
        <w:rPr>
          <w:rFonts w:ascii="Times New Roman" w:hAnsi="Times New Roman" w:cs="Times New Roman"/>
        </w:rPr>
        <w:t>(3) The idea of solidity included in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681C21">
        <w:rPr>
          <w:rFonts w:ascii="Times New Roman" w:hAnsi="Times New Roman" w:cs="Times New Roman"/>
        </w:rPr>
        <w:t xml:space="preserve"> depends on either the idea of motion or the idea of extension (</w:t>
      </w:r>
      <w:r w:rsidRPr="00681C21">
        <w:rPr>
          <w:rFonts w:ascii="Times New Roman" w:hAnsi="Times New Roman" w:cs="Times New Roman"/>
          <w:i/>
          <w:iCs/>
        </w:rPr>
        <w:t>T</w:t>
      </w:r>
      <w:r w:rsidRPr="00681C21">
        <w:rPr>
          <w:rFonts w:ascii="Times New Roman" w:hAnsi="Times New Roman" w:cs="Times New Roman"/>
        </w:rPr>
        <w:t xml:space="preserve"> 1.4.4.9).</w:t>
      </w:r>
    </w:p>
    <w:p w14:paraId="1EC3AC4D" w14:textId="3FBF4E1C" w:rsidR="00F959A0" w:rsidRPr="00F31292" w:rsidRDefault="00F959A0" w:rsidP="00F959A0">
      <w:pPr>
        <w:pStyle w:val="BodyText"/>
        <w:spacing w:before="0" w:after="0" w:line="480" w:lineRule="auto"/>
        <w:jc w:val="both"/>
        <w:rPr>
          <w:rFonts w:ascii="Times New Roman" w:hAnsi="Times New Roman" w:cs="Times New Roman"/>
        </w:rPr>
      </w:pPr>
      <w:r w:rsidRPr="00F31292">
        <w:rPr>
          <w:rFonts w:ascii="Times New Roman" w:hAnsi="Times New Roman" w:cs="Times New Roman"/>
        </w:rPr>
        <w:t>Hume does not identify the kind of dependence to which these claims appeal. One passage suggests that the relevant kind of dependence is ontological dependence: Hume says that “[t]he reality, therefore, of our idea of extension depends upon the reality of that of solidity” (</w:t>
      </w:r>
      <w:r w:rsidRPr="00F31292">
        <w:rPr>
          <w:rFonts w:ascii="Times New Roman" w:hAnsi="Times New Roman" w:cs="Times New Roman"/>
          <w:i/>
          <w:iCs/>
        </w:rPr>
        <w:t>T</w:t>
      </w:r>
      <w:r w:rsidRPr="00F31292">
        <w:rPr>
          <w:rFonts w:ascii="Times New Roman" w:hAnsi="Times New Roman" w:cs="Times New Roman"/>
        </w:rPr>
        <w:t xml:space="preserve"> 1.4.4.8). But in </w:t>
      </w:r>
      <w:r w:rsidRPr="00F31292">
        <w:rPr>
          <w:rFonts w:ascii="Times New Roman" w:hAnsi="Times New Roman" w:cs="Times New Roman"/>
          <w:i/>
          <w:iCs/>
        </w:rPr>
        <w:t>T</w:t>
      </w:r>
      <w:r w:rsidRPr="00F31292">
        <w:rPr>
          <w:rFonts w:ascii="Times New Roman" w:hAnsi="Times New Roman" w:cs="Times New Roman"/>
        </w:rPr>
        <w:t xml:space="preserve"> 1.4.5, “Of the immateriality of the soul,” Hume argues by means of his separability principle that we have no idea of ontological dependence relations</w:t>
      </w:r>
      <w:r>
        <w:rPr>
          <w:rFonts w:ascii="Times New Roman" w:hAnsi="Times New Roman" w:cs="Times New Roman"/>
        </w:rPr>
        <w:t xml:space="preserve"> </w:t>
      </w:r>
      <w:r w:rsidRPr="00F31292">
        <w:rPr>
          <w:rFonts w:ascii="Times New Roman" w:hAnsi="Times New Roman" w:cs="Times New Roman"/>
        </w:rPr>
        <w:t>(</w:t>
      </w:r>
      <w:r w:rsidRPr="00F31292">
        <w:rPr>
          <w:rFonts w:ascii="Times New Roman" w:hAnsi="Times New Roman" w:cs="Times New Roman"/>
          <w:i/>
          <w:iCs/>
        </w:rPr>
        <w:t>T</w:t>
      </w:r>
      <w:r w:rsidRPr="00F31292">
        <w:rPr>
          <w:rFonts w:ascii="Times New Roman" w:hAnsi="Times New Roman" w:cs="Times New Roman"/>
        </w:rPr>
        <w:t xml:space="preserve"> 1.4.5.6). He is not entitled to appeal to the notion of ontological dependence in MP’s skeptical argument. Neither can the relevant kind of dependence be causal dependence. Hume writes that the idea of motion “must </w:t>
      </w:r>
      <w:r w:rsidRPr="00F31292">
        <w:rPr>
          <w:rFonts w:ascii="Times New Roman" w:hAnsi="Times New Roman" w:cs="Times New Roman"/>
          <w:i/>
          <w:iCs/>
        </w:rPr>
        <w:t>resolve itself into</w:t>
      </w:r>
      <w:r w:rsidRPr="00F31292">
        <w:rPr>
          <w:rFonts w:ascii="Times New Roman" w:hAnsi="Times New Roman" w:cs="Times New Roman"/>
        </w:rPr>
        <w:t xml:space="preserve"> the idea of extension or of solidity” (</w:t>
      </w:r>
      <w:r w:rsidRPr="00F31292">
        <w:rPr>
          <w:rFonts w:ascii="Times New Roman" w:hAnsi="Times New Roman" w:cs="Times New Roman"/>
          <w:i/>
          <w:iCs/>
        </w:rPr>
        <w:t>T</w:t>
      </w:r>
      <w:r w:rsidRPr="00F31292">
        <w:rPr>
          <w:rFonts w:ascii="Times New Roman" w:hAnsi="Times New Roman" w:cs="Times New Roman"/>
        </w:rPr>
        <w:t xml:space="preserve"> 1.4.4.7, emphasis added). The relevant kind of dependence is not one that implies the distinctness of the items between which the dependence relation holds. </w:t>
      </w:r>
      <w:r w:rsidRPr="00F31292">
        <w:rPr>
          <w:rFonts w:ascii="Times New Roman" w:hAnsi="Times New Roman" w:cs="Times New Roman"/>
        </w:rPr>
        <w:lastRenderedPageBreak/>
        <w:t>Because, for Hume, causes are distinct from their effects, the relevant kind of dependence cannot be causal dependence (</w:t>
      </w:r>
      <w:r w:rsidRPr="00F31292">
        <w:rPr>
          <w:rFonts w:ascii="Times New Roman" w:hAnsi="Times New Roman" w:cs="Times New Roman"/>
          <w:i/>
          <w:iCs/>
        </w:rPr>
        <w:t>T</w:t>
      </w:r>
      <w:r w:rsidRPr="00F31292">
        <w:rPr>
          <w:rFonts w:ascii="Times New Roman" w:hAnsi="Times New Roman" w:cs="Times New Roman"/>
        </w:rPr>
        <w:t xml:space="preserve"> 1.3.14.31).</w:t>
      </w:r>
    </w:p>
    <w:p w14:paraId="7018C246" w14:textId="408E820E"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The relevant kind of dependence is conceptual dependence.</w:t>
      </w:r>
      <w:r w:rsidRPr="00F31292">
        <w:rPr>
          <w:rStyle w:val="FootnoteReference"/>
          <w:rFonts w:ascii="Times New Roman" w:hAnsi="Times New Roman" w:cs="Times New Roman"/>
        </w:rPr>
        <w:footnoteReference w:id="31"/>
      </w:r>
      <w:r w:rsidRPr="00F31292">
        <w:rPr>
          <w:rFonts w:ascii="Times New Roman" w:hAnsi="Times New Roman" w:cs="Times New Roman"/>
        </w:rPr>
        <w:t xml:space="preserve"> This a</w:t>
      </w:r>
      <w:r>
        <w:rPr>
          <w:rFonts w:ascii="Times New Roman" w:hAnsi="Times New Roman" w:cs="Times New Roman"/>
        </w:rPr>
        <w:t xml:space="preserve">ccords </w:t>
      </w:r>
      <w:r w:rsidRPr="00F31292">
        <w:rPr>
          <w:rFonts w:ascii="Times New Roman" w:hAnsi="Times New Roman" w:cs="Times New Roman"/>
        </w:rPr>
        <w:t>with the way in which Hume argues for each component of the triad. H</w:t>
      </w:r>
      <w:r>
        <w:rPr>
          <w:rFonts w:ascii="Times New Roman" w:hAnsi="Times New Roman" w:cs="Times New Roman"/>
        </w:rPr>
        <w:t>e</w:t>
      </w:r>
      <w:r w:rsidRPr="00F31292">
        <w:rPr>
          <w:rFonts w:ascii="Times New Roman" w:hAnsi="Times New Roman" w:cs="Times New Roman"/>
        </w:rPr>
        <w:t xml:space="preserve"> supports (1) by arguing that “idea of motion necessarily supposes that of a body moving” (</w:t>
      </w:r>
      <w:r w:rsidRPr="00F31292">
        <w:rPr>
          <w:rFonts w:ascii="Times New Roman" w:hAnsi="Times New Roman" w:cs="Times New Roman"/>
          <w:i/>
          <w:iCs/>
        </w:rPr>
        <w:t>T</w:t>
      </w:r>
      <w:r w:rsidRPr="00F31292">
        <w:rPr>
          <w:rFonts w:ascii="Times New Roman" w:hAnsi="Times New Roman" w:cs="Times New Roman"/>
        </w:rPr>
        <w:t xml:space="preserve"> 1.4.4.7). To conceive of motion, one must conceive of a body moving, which, by the positive commitment, must be conceived of as either extended or solid. With respect to (2), Hume’s arguments in </w:t>
      </w:r>
      <w:r w:rsidRPr="00F31292">
        <w:rPr>
          <w:rFonts w:ascii="Times New Roman" w:hAnsi="Times New Roman" w:cs="Times New Roman"/>
          <w:i/>
          <w:iCs/>
        </w:rPr>
        <w:t>T</w:t>
      </w:r>
      <w:r w:rsidRPr="00F31292">
        <w:rPr>
          <w:rFonts w:ascii="Times New Roman" w:hAnsi="Times New Roman" w:cs="Times New Roman"/>
        </w:rPr>
        <w:t xml:space="preserve"> 1.2, as we have seen, imply that extension must be conceived of as being constituted by points that are either colored or solid. Moreover, because the modern philosophy accepts the negative commitment, ideas of colors are excluded from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Thus, the idea of extension included in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must depend on the idea of solidity. Hume’s argument for (3) rests on the claim that “idea of solidity is that of two objects, which being impell’d by the utmost force, cannot penetrate each other” (</w:t>
      </w:r>
      <w:r w:rsidRPr="00F31292">
        <w:rPr>
          <w:rFonts w:ascii="Times New Roman" w:hAnsi="Times New Roman" w:cs="Times New Roman"/>
          <w:i/>
          <w:iCs/>
        </w:rPr>
        <w:t>T</w:t>
      </w:r>
      <w:r w:rsidRPr="00F31292">
        <w:rPr>
          <w:rFonts w:ascii="Times New Roman" w:hAnsi="Times New Roman" w:cs="Times New Roman"/>
        </w:rPr>
        <w:t xml:space="preserve"> 1.4.4.9). The conception of solidity requires a conception of bodies that do not penetrate one another when forced together. The latter conception requires a conception of </w:t>
      </w:r>
      <w:r w:rsidRPr="00F31292">
        <w:rPr>
          <w:rFonts w:ascii="Times New Roman" w:hAnsi="Times New Roman" w:cs="Times New Roman"/>
          <w:i/>
          <w:iCs/>
        </w:rPr>
        <w:t>bodies</w:t>
      </w:r>
      <w:r w:rsidRPr="00F31292">
        <w:rPr>
          <w:rFonts w:ascii="Times New Roman" w:hAnsi="Times New Roman" w:cs="Times New Roman"/>
        </w:rPr>
        <w:t>, which conception must, by the positive commitment, include the idea of solidity or the idea of extension.</w:t>
      </w:r>
    </w:p>
    <w:p w14:paraId="58C86FE8" w14:textId="223B154F"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lastRenderedPageBreak/>
        <w:t>Hume aims to show that (1), (2), and (3) imply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suffers from a conceptual defect. Distinguish two possible defects from which the conception might suffer. First, the conception may be defective insofar as it is contentless or empty. Second, the conception may be defective insofar as it is incoherent or absurd. These defects are distinct and incompatible. A conception’s being incoherent requires that it include contents that are jointly inconsistent; a conception’s lacking content precludes its being incoherent.</w:t>
      </w:r>
      <w:r w:rsidRPr="00F31292">
        <w:rPr>
          <w:rStyle w:val="FootnoteReference"/>
          <w:rFonts w:ascii="Times New Roman" w:hAnsi="Times New Roman" w:cs="Times New Roman"/>
        </w:rPr>
        <w:footnoteReference w:id="32"/>
      </w:r>
      <w:r w:rsidRPr="00F31292">
        <w:rPr>
          <w:rFonts w:ascii="Times New Roman" w:hAnsi="Times New Roman" w:cs="Times New Roman"/>
        </w:rPr>
        <w:t xml:space="preserve"> As we will consider below, Hume provides an argument concerning the primary/secondary distinction that resembles MP’s skeptical argument. The </w:t>
      </w:r>
      <w:r w:rsidRPr="00F31292">
        <w:rPr>
          <w:rFonts w:ascii="Times New Roman" w:hAnsi="Times New Roman" w:cs="Times New Roman"/>
          <w:i/>
          <w:iCs/>
        </w:rPr>
        <w:t>Enquiry</w:t>
      </w:r>
      <w:r w:rsidRPr="00F31292">
        <w:rPr>
          <w:rFonts w:ascii="Times New Roman" w:hAnsi="Times New Roman" w:cs="Times New Roman"/>
        </w:rPr>
        <w:t xml:space="preserve"> argument might be thought to provide textual support for the interpretation according to which MP’s skeptical argument shows that the conception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is empty. The former argument concludes with the claim that the primary/secondary distinction leads us to “annihilate” body and renders body “only a certain unknown, inexplicable </w:t>
      </w:r>
      <w:r w:rsidRPr="00F31292">
        <w:rPr>
          <w:rFonts w:ascii="Times New Roman" w:hAnsi="Times New Roman" w:cs="Times New Roman"/>
          <w:i/>
          <w:iCs/>
        </w:rPr>
        <w:t>something</w:t>
      </w:r>
      <w:r w:rsidRPr="00F31292">
        <w:rPr>
          <w:rFonts w:ascii="Times New Roman" w:hAnsi="Times New Roman" w:cs="Times New Roman"/>
        </w:rPr>
        <w:t>” (</w:t>
      </w:r>
      <w:r w:rsidRPr="00F31292">
        <w:rPr>
          <w:rFonts w:ascii="Times New Roman" w:hAnsi="Times New Roman" w:cs="Times New Roman"/>
          <w:i/>
          <w:iCs/>
        </w:rPr>
        <w:t>EU</w:t>
      </w:r>
      <w:r w:rsidRPr="00F31292">
        <w:rPr>
          <w:rFonts w:ascii="Times New Roman" w:hAnsi="Times New Roman" w:cs="Times New Roman"/>
        </w:rPr>
        <w:t xml:space="preserve"> 7.16). Hume’s conclusion in the </w:t>
      </w:r>
      <w:r w:rsidRPr="00F31292">
        <w:rPr>
          <w:rFonts w:ascii="Times New Roman" w:hAnsi="Times New Roman" w:cs="Times New Roman"/>
          <w:i/>
          <w:iCs/>
        </w:rPr>
        <w:t>Enquiry</w:t>
      </w:r>
      <w:r w:rsidRPr="00F31292">
        <w:rPr>
          <w:rFonts w:ascii="Times New Roman" w:hAnsi="Times New Roman" w:cs="Times New Roman"/>
        </w:rPr>
        <w:t xml:space="preserve"> is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is empty. We might take MP’s skeptical argument to have the same intended conclusion. This does not do justice to Hume’s references to the inconsistency of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He says that the removal of secondary qualities from bodies leaves us with no “just and </w:t>
      </w:r>
      <w:r w:rsidRPr="00F31292">
        <w:rPr>
          <w:rFonts w:ascii="Times New Roman" w:hAnsi="Times New Roman" w:cs="Times New Roman"/>
          <w:i/>
          <w:iCs/>
        </w:rPr>
        <w:t>consistent</w:t>
      </w:r>
      <w:r w:rsidRPr="00F31292">
        <w:rPr>
          <w:rFonts w:ascii="Times New Roman" w:hAnsi="Times New Roman" w:cs="Times New Roman"/>
        </w:rPr>
        <w:t xml:space="preserve"> idea of body (</w:t>
      </w:r>
      <w:r w:rsidRPr="00F31292">
        <w:rPr>
          <w:rFonts w:ascii="Times New Roman" w:hAnsi="Times New Roman" w:cs="Times New Roman"/>
          <w:i/>
          <w:iCs/>
        </w:rPr>
        <w:t>T</w:t>
      </w:r>
      <w:r w:rsidRPr="00F31292">
        <w:rPr>
          <w:rFonts w:ascii="Times New Roman" w:hAnsi="Times New Roman" w:cs="Times New Roman"/>
        </w:rPr>
        <w:t xml:space="preserve"> 1.4.4.10, emphasis added). And he says that he has found “such </w:t>
      </w:r>
      <w:r w:rsidRPr="00F31292">
        <w:rPr>
          <w:rFonts w:ascii="Times New Roman" w:hAnsi="Times New Roman" w:cs="Times New Roman"/>
          <w:i/>
          <w:iCs/>
        </w:rPr>
        <w:t>contradictions</w:t>
      </w:r>
      <w:r w:rsidRPr="00F31292">
        <w:rPr>
          <w:rFonts w:ascii="Times New Roman" w:hAnsi="Times New Roman" w:cs="Times New Roman"/>
        </w:rPr>
        <w:t xml:space="preserve"> and difficulties in every system concerning external objects, and </w:t>
      </w:r>
      <w:r w:rsidRPr="00F31292">
        <w:rPr>
          <w:rFonts w:ascii="Times New Roman" w:hAnsi="Times New Roman" w:cs="Times New Roman"/>
          <w:i/>
          <w:iCs/>
        </w:rPr>
        <w:t>in the idea of matter</w:t>
      </w:r>
      <w:r w:rsidRPr="00F31292">
        <w:rPr>
          <w:rFonts w:ascii="Times New Roman" w:hAnsi="Times New Roman" w:cs="Times New Roman"/>
        </w:rPr>
        <w:t>, which we fancy so clear and determinate” (</w:t>
      </w:r>
      <w:r w:rsidRPr="00F31292">
        <w:rPr>
          <w:rFonts w:ascii="Times New Roman" w:hAnsi="Times New Roman" w:cs="Times New Roman"/>
          <w:i/>
          <w:iCs/>
        </w:rPr>
        <w:t>T</w:t>
      </w:r>
      <w:r w:rsidRPr="00F31292">
        <w:rPr>
          <w:rFonts w:ascii="Times New Roman" w:hAnsi="Times New Roman" w:cs="Times New Roman"/>
        </w:rPr>
        <w:t xml:space="preserve"> 1.4.5.1, emphasis added).</w:t>
      </w:r>
      <w:r w:rsidRPr="00F31292">
        <w:rPr>
          <w:rStyle w:val="FootnoteReference"/>
          <w:rFonts w:ascii="Times New Roman" w:hAnsi="Times New Roman" w:cs="Times New Roman"/>
        </w:rPr>
        <w:footnoteReference w:id="33"/>
      </w:r>
    </w:p>
    <w:p w14:paraId="281D4837" w14:textId="4C3FE790"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lastRenderedPageBreak/>
        <w:t>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is incoherent is implied by (1), (2), and (3) coupled with an assumption about relations of conceptual dependence: they are </w:t>
      </w:r>
      <w:r w:rsidRPr="00F31292">
        <w:rPr>
          <w:rFonts w:ascii="Times New Roman" w:hAnsi="Times New Roman" w:cs="Times New Roman"/>
          <w:i/>
          <w:iCs/>
        </w:rPr>
        <w:t>necessarily asymmetric</w:t>
      </w:r>
      <w:r w:rsidRPr="00F31292">
        <w:rPr>
          <w:rFonts w:ascii="Times New Roman" w:hAnsi="Times New Roman" w:cs="Times New Roman"/>
        </w:rPr>
        <w:t>. The triad to which the modern philosophy is committed implies, absurdly, that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includes symmetric relations of conceptual dependence. (2) says that the idea of extension depends on the idea of solidity. (3) says that the idea of solidity depends on the idea of motion or extension. But (1) says that the idea of motion depends on the idea of extension or the idea of solidity. These claims are all true only if there is at least one symmetric relation of conceptual dependence included in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If conceptual dependence relations are necessarily asymmetric,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includes an incoherence or absurdity. This reading receives support from Hume’s repeated references to the modern philosophy’s being committed to a “circle” (</w:t>
      </w:r>
      <w:r w:rsidRPr="00F31292">
        <w:rPr>
          <w:rFonts w:ascii="Times New Roman" w:hAnsi="Times New Roman" w:cs="Times New Roman"/>
          <w:i/>
          <w:iCs/>
        </w:rPr>
        <w:t>T</w:t>
      </w:r>
      <w:r w:rsidRPr="00F31292">
        <w:rPr>
          <w:rFonts w:ascii="Times New Roman" w:hAnsi="Times New Roman" w:cs="Times New Roman"/>
        </w:rPr>
        <w:t xml:space="preserve"> 1.4.4.9</w:t>
      </w:r>
      <w:r>
        <w:rPr>
          <w:rFonts w:ascii="Times New Roman" w:hAnsi="Times New Roman" w:cs="Times New Roman"/>
        </w:rPr>
        <w:t>–</w:t>
      </w:r>
      <w:r w:rsidRPr="00F31292">
        <w:rPr>
          <w:rFonts w:ascii="Times New Roman" w:hAnsi="Times New Roman" w:cs="Times New Roman"/>
        </w:rPr>
        <w:t>10). And it accommodates his claim to have found “contradictions” in “the idea of matter” (</w:t>
      </w:r>
      <w:r w:rsidRPr="00F31292">
        <w:rPr>
          <w:rFonts w:ascii="Times New Roman" w:hAnsi="Times New Roman" w:cs="Times New Roman"/>
          <w:i/>
          <w:iCs/>
        </w:rPr>
        <w:t>T</w:t>
      </w:r>
      <w:r w:rsidRPr="00F31292">
        <w:rPr>
          <w:rFonts w:ascii="Times New Roman" w:hAnsi="Times New Roman" w:cs="Times New Roman"/>
        </w:rPr>
        <w:t xml:space="preserve"> 1.4.5.1). Further, what is contradictory “cou’d [not] ever be conceiv’d” (</w:t>
      </w:r>
      <w:r w:rsidRPr="00F31292">
        <w:rPr>
          <w:rFonts w:ascii="Times New Roman" w:hAnsi="Times New Roman" w:cs="Times New Roman"/>
          <w:i/>
          <w:iCs/>
        </w:rPr>
        <w:t>T</w:t>
      </w:r>
      <w:r w:rsidRPr="00F31292">
        <w:rPr>
          <w:rFonts w:ascii="Times New Roman" w:hAnsi="Times New Roman" w:cs="Times New Roman"/>
        </w:rPr>
        <w:t xml:space="preserve"> 1.2.4.11). Thus, if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eastAsiaTheme="minorEastAsia" w:hAnsi="Times New Roman" w:cs="Times New Roman"/>
        </w:rPr>
        <w:t xml:space="preserve"> is incoherent, then </w:t>
      </w:r>
      <w:r w:rsidRPr="00F31292">
        <w:rPr>
          <w:rFonts w:ascii="Times New Roman" w:hAnsi="Times New Roman" w:cs="Times New Roman"/>
        </w:rPr>
        <w:t>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eastAsiaTheme="minorEastAsia" w:hAnsi="Times New Roman" w:cs="Times New Roman"/>
        </w:rPr>
        <w:t xml:space="preserve"> is inconceivable.</w:t>
      </w:r>
      <w:r w:rsidRPr="00F31292">
        <w:rPr>
          <w:rStyle w:val="FootnoteReference"/>
          <w:rFonts w:ascii="Times New Roman" w:hAnsi="Times New Roman" w:cs="Times New Roman"/>
        </w:rPr>
        <w:footnoteReference w:id="34"/>
      </w:r>
    </w:p>
    <w:p w14:paraId="6FD438B0" w14:textId="3A33EF32"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In addition to this conceptual conclusion, several scholars have taken the skeptical argument to have a metaphysical implication. Allison and Loeb understand the argument to imply that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does not exist. I call this the </w:t>
      </w:r>
      <w:r w:rsidRPr="00F31292">
        <w:rPr>
          <w:rFonts w:ascii="Times New Roman" w:hAnsi="Times New Roman" w:cs="Times New Roman"/>
          <w:i/>
          <w:iCs/>
        </w:rPr>
        <w:t>metaphysical reading</w:t>
      </w:r>
      <w:r w:rsidRPr="00F31292">
        <w:rPr>
          <w:rFonts w:ascii="Times New Roman" w:hAnsi="Times New Roman" w:cs="Times New Roman"/>
        </w:rPr>
        <w:t xml:space="preserve"> of the argument. In Loeb’s view, MP argues against the existence of primary qualities.</w:t>
      </w:r>
      <w:r w:rsidRPr="00F31292">
        <w:rPr>
          <w:rStyle w:val="FootnoteReference"/>
          <w:rFonts w:ascii="Times New Roman" w:hAnsi="Times New Roman" w:cs="Times New Roman"/>
        </w:rPr>
        <w:footnoteReference w:id="35"/>
      </w:r>
      <w:r w:rsidRPr="00F31292">
        <w:rPr>
          <w:rFonts w:ascii="Times New Roman" w:hAnsi="Times New Roman" w:cs="Times New Roman"/>
        </w:rPr>
        <w:t xml:space="preserve"> Allison takes the section to establish the </w:t>
      </w:r>
      <w:r w:rsidRPr="00F31292">
        <w:rPr>
          <w:rFonts w:ascii="Times New Roman" w:hAnsi="Times New Roman" w:cs="Times New Roman"/>
        </w:rPr>
        <w:lastRenderedPageBreak/>
        <w:t>metaphysical claim that it is impossible that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should exist, because primary qualities cannot exist apart from secondary qualities.</w:t>
      </w:r>
      <w:r w:rsidRPr="00F31292">
        <w:rPr>
          <w:rStyle w:val="FootnoteReference"/>
          <w:rFonts w:ascii="Times New Roman" w:hAnsi="Times New Roman" w:cs="Times New Roman"/>
        </w:rPr>
        <w:footnoteReference w:id="36"/>
      </w:r>
      <w:r w:rsidRPr="00F31292">
        <w:rPr>
          <w:rFonts w:ascii="Times New Roman" w:hAnsi="Times New Roman" w:cs="Times New Roman"/>
        </w:rPr>
        <w:t xml:space="preserve"> This implies that Hume follows Berkeley in using the primary/secondary distinction in support of a metaphysical verdict about body.</w:t>
      </w:r>
    </w:p>
    <w:p w14:paraId="37BDFDBB" w14:textId="4EA46917"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metaphysical reading is mistaken. MP’s skeptical argument implies the metaphysical conclusion attributed to Hume by Allison and Loeb only with application of a principle that is unacceptable to Hume. According to Allison, Hume (implicitly) uses his “conceivability principle”—if </w:t>
      </w:r>
      <w:r w:rsidRPr="00F31292">
        <w:rPr>
          <w:rFonts w:ascii="Times New Roman" w:hAnsi="Times New Roman" w:cs="Times New Roman"/>
          <w:i/>
          <w:iCs/>
        </w:rPr>
        <w:t>x</w:t>
      </w:r>
      <w:r w:rsidRPr="00F31292">
        <w:rPr>
          <w:rFonts w:ascii="Times New Roman" w:hAnsi="Times New Roman" w:cs="Times New Roman"/>
        </w:rPr>
        <w:t xml:space="preserve"> is conceivable, then </w:t>
      </w:r>
      <w:r w:rsidRPr="00F31292">
        <w:rPr>
          <w:rFonts w:ascii="Times New Roman" w:hAnsi="Times New Roman" w:cs="Times New Roman"/>
          <w:i/>
          <w:iCs/>
        </w:rPr>
        <w:t>x</w:t>
      </w:r>
      <w:r w:rsidRPr="00F31292">
        <w:rPr>
          <w:rFonts w:ascii="Times New Roman" w:hAnsi="Times New Roman" w:cs="Times New Roman"/>
        </w:rPr>
        <w:t xml:space="preserve"> is possible—to derive the metaphysical claim that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does not exist from the claim that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is inconceivable.</w:t>
      </w:r>
      <w:r w:rsidRPr="00F31292">
        <w:rPr>
          <w:rStyle w:val="FootnoteReference"/>
          <w:rFonts w:ascii="Times New Roman" w:hAnsi="Times New Roman" w:cs="Times New Roman"/>
        </w:rPr>
        <w:footnoteReference w:id="37"/>
      </w:r>
      <w:r w:rsidRPr="00F31292">
        <w:rPr>
          <w:rFonts w:ascii="Times New Roman" w:hAnsi="Times New Roman" w:cs="Times New Roman"/>
        </w:rPr>
        <w:t xml:space="preserve"> In fact, the argument requires not the conceivability principle but the inconceivability principle: that </w:t>
      </w:r>
      <w:r w:rsidRPr="00F31292">
        <w:rPr>
          <w:rFonts w:ascii="Times New Roman" w:hAnsi="Times New Roman" w:cs="Times New Roman"/>
          <w:i/>
          <w:iCs/>
        </w:rPr>
        <w:t>x</w:t>
      </w:r>
      <w:r w:rsidRPr="00F31292">
        <w:rPr>
          <w:rFonts w:ascii="Times New Roman" w:hAnsi="Times New Roman" w:cs="Times New Roman"/>
        </w:rPr>
        <w:t xml:space="preserve">’s being inconceivable implies that </w:t>
      </w:r>
      <w:r w:rsidRPr="00F31292">
        <w:rPr>
          <w:rFonts w:ascii="Times New Roman" w:hAnsi="Times New Roman" w:cs="Times New Roman"/>
          <w:i/>
          <w:iCs/>
        </w:rPr>
        <w:t>x</w:t>
      </w:r>
      <w:r w:rsidRPr="00F31292">
        <w:rPr>
          <w:rFonts w:ascii="Times New Roman" w:hAnsi="Times New Roman" w:cs="Times New Roman"/>
        </w:rPr>
        <w:t xml:space="preserve"> is impossible. Hume does not state this argument in MP because it is objectionable by his own lights. He holds that use of the principle that “whatever </w:t>
      </w:r>
      <w:r w:rsidRPr="00F31292">
        <w:rPr>
          <w:rFonts w:ascii="Times New Roman" w:hAnsi="Times New Roman" w:cs="Times New Roman"/>
          <w:i/>
          <w:iCs/>
        </w:rPr>
        <w:t>appears</w:t>
      </w:r>
      <w:r w:rsidRPr="00F31292">
        <w:rPr>
          <w:rFonts w:ascii="Times New Roman" w:hAnsi="Times New Roman" w:cs="Times New Roman"/>
        </w:rPr>
        <w:t xml:space="preserve"> impossible and contradictory upon the comparison of</w:t>
      </w:r>
      <w:r>
        <w:rPr>
          <w:rFonts w:ascii="Times New Roman" w:hAnsi="Times New Roman" w:cs="Times New Roman"/>
        </w:rPr>
        <w:t xml:space="preserve"> . . . </w:t>
      </w:r>
      <w:r w:rsidRPr="00F31292">
        <w:rPr>
          <w:rFonts w:ascii="Times New Roman" w:hAnsi="Times New Roman" w:cs="Times New Roman"/>
        </w:rPr>
        <w:t xml:space="preserve">ideas, must be </w:t>
      </w:r>
      <w:r w:rsidRPr="00F31292">
        <w:rPr>
          <w:rFonts w:ascii="Times New Roman" w:hAnsi="Times New Roman" w:cs="Times New Roman"/>
          <w:i/>
          <w:iCs/>
        </w:rPr>
        <w:t>really</w:t>
      </w:r>
      <w:r w:rsidRPr="00F31292">
        <w:rPr>
          <w:rFonts w:ascii="Times New Roman" w:hAnsi="Times New Roman" w:cs="Times New Roman"/>
        </w:rPr>
        <w:t xml:space="preserve"> impossible and contradictory” requires that one’s ideas are “adequate representations of objects” (</w:t>
      </w:r>
      <w:r w:rsidRPr="00F31292">
        <w:rPr>
          <w:rFonts w:ascii="Times New Roman" w:hAnsi="Times New Roman" w:cs="Times New Roman"/>
          <w:i/>
          <w:iCs/>
        </w:rPr>
        <w:t>T</w:t>
      </w:r>
      <w:r w:rsidRPr="00F31292">
        <w:rPr>
          <w:rFonts w:ascii="Times New Roman" w:hAnsi="Times New Roman" w:cs="Times New Roman"/>
        </w:rPr>
        <w:t xml:space="preserve"> 1.2.2.1). To show that it is impossible that </w:t>
      </w:r>
      <w:r w:rsidRPr="00F31292">
        <w:rPr>
          <w:rFonts w:ascii="Times New Roman" w:hAnsi="Times New Roman" w:cs="Times New Roman"/>
          <w:i/>
          <w:iCs/>
        </w:rPr>
        <w:t>x</w:t>
      </w:r>
      <w:r w:rsidRPr="00F31292">
        <w:rPr>
          <w:rFonts w:ascii="Times New Roman" w:hAnsi="Times New Roman" w:cs="Times New Roman"/>
        </w:rPr>
        <w:t xml:space="preserve"> is F from the fact that it is inconceivable that </w:t>
      </w:r>
      <w:r w:rsidRPr="00F31292">
        <w:rPr>
          <w:rFonts w:ascii="Times New Roman" w:hAnsi="Times New Roman" w:cs="Times New Roman"/>
          <w:i/>
          <w:iCs/>
        </w:rPr>
        <w:t>x</w:t>
      </w:r>
      <w:r w:rsidRPr="00F31292">
        <w:rPr>
          <w:rFonts w:ascii="Times New Roman" w:hAnsi="Times New Roman" w:cs="Times New Roman"/>
        </w:rPr>
        <w:t xml:space="preserve"> if F, one must have an </w:t>
      </w:r>
      <w:r w:rsidRPr="00F31292">
        <w:rPr>
          <w:rFonts w:ascii="Times New Roman" w:hAnsi="Times New Roman" w:cs="Times New Roman"/>
          <w:i/>
          <w:iCs/>
        </w:rPr>
        <w:t>adequate</w:t>
      </w:r>
      <w:r w:rsidRPr="00F31292">
        <w:rPr>
          <w:rFonts w:ascii="Times New Roman" w:hAnsi="Times New Roman" w:cs="Times New Roman"/>
        </w:rPr>
        <w:t xml:space="preserve"> idea of </w:t>
      </w:r>
      <w:r w:rsidRPr="00F31292">
        <w:rPr>
          <w:rFonts w:ascii="Times New Roman" w:hAnsi="Times New Roman" w:cs="Times New Roman"/>
          <w:i/>
          <w:iCs/>
        </w:rPr>
        <w:t>x</w:t>
      </w:r>
      <w:r w:rsidRPr="00F31292">
        <w:rPr>
          <w:rFonts w:ascii="Times New Roman" w:hAnsi="Times New Roman" w:cs="Times New Roman"/>
        </w:rPr>
        <w:t>.</w:t>
      </w:r>
      <w:r w:rsidRPr="00F31292">
        <w:rPr>
          <w:rStyle w:val="FootnoteReference"/>
          <w:rFonts w:ascii="Times New Roman" w:hAnsi="Times New Roman" w:cs="Times New Roman"/>
        </w:rPr>
        <w:footnoteReference w:id="38"/>
      </w:r>
      <w:r w:rsidRPr="00F31292">
        <w:rPr>
          <w:rFonts w:ascii="Times New Roman" w:hAnsi="Times New Roman" w:cs="Times New Roman"/>
        </w:rPr>
        <w:t xml:space="preserve"> Hume does not say under what conditions an idea is adequate. But because MP’s skeptical argument implies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suffers from a conceptual defect, the argument plausibly implies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is inadequate. Hume denies that the inconceivability principle can be used in the way that Allison’s argument requires.</w:t>
      </w:r>
      <w:r w:rsidRPr="00F31292">
        <w:rPr>
          <w:rStyle w:val="FootnoteReference"/>
          <w:rFonts w:ascii="Times New Roman" w:hAnsi="Times New Roman" w:cs="Times New Roman"/>
        </w:rPr>
        <w:footnoteReference w:id="39"/>
      </w:r>
      <w:r w:rsidRPr="00F31292">
        <w:rPr>
          <w:rFonts w:ascii="Times New Roman" w:hAnsi="Times New Roman" w:cs="Times New Roman"/>
        </w:rPr>
        <w:t xml:space="preserve"> MP’s skeptical argument differs from the argument </w:t>
      </w:r>
      <w:r w:rsidRPr="00F31292">
        <w:rPr>
          <w:rFonts w:ascii="Times New Roman" w:hAnsi="Times New Roman" w:cs="Times New Roman"/>
        </w:rPr>
        <w:lastRenderedPageBreak/>
        <w:t xml:space="preserve">of Berkeley’s </w:t>
      </w:r>
      <w:r w:rsidRPr="00F31292">
        <w:rPr>
          <w:rFonts w:ascii="Times New Roman" w:hAnsi="Times New Roman" w:cs="Times New Roman"/>
          <w:i/>
          <w:iCs/>
        </w:rPr>
        <w:t>Dialogues</w:t>
      </w:r>
      <w:r w:rsidRPr="00F31292">
        <w:rPr>
          <w:rFonts w:ascii="Times New Roman" w:hAnsi="Times New Roman" w:cs="Times New Roman"/>
        </w:rPr>
        <w:t>: the latter but not the former aims to establish a metaphysical conclusion about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using the inconceivability principle.</w:t>
      </w:r>
      <w:r w:rsidRPr="00F31292">
        <w:rPr>
          <w:rStyle w:val="FootnoteReference"/>
          <w:rFonts w:ascii="Times New Roman" w:hAnsi="Times New Roman" w:cs="Times New Roman"/>
        </w:rPr>
        <w:footnoteReference w:id="40"/>
      </w:r>
    </w:p>
    <w:p w14:paraId="5BB88CE5" w14:textId="32F08143"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We are now in a position to understand Hume’s aim in MP. According to the section’s second phase, the modern philosophy’s negative commitment implies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is defective in a way that renders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inconceivable. According to the standard reading, Hume rejects the negative commitment on the basis of this result. But nowhere does Hume say that the negative commitment should be rejected. And nowhere does he say that the second phase is a reductio of its first phase. As we have seen, he repeatedly claims </w:t>
      </w:r>
      <w:r w:rsidRPr="00F31292">
        <w:rPr>
          <w:rFonts w:ascii="Times New Roman" w:hAnsi="Times New Roman" w:cs="Times New Roman"/>
          <w:i/>
          <w:iCs/>
        </w:rPr>
        <w:t>after MP</w:t>
      </w:r>
      <w:r w:rsidRPr="00F31292">
        <w:rPr>
          <w:rFonts w:ascii="Times New Roman" w:hAnsi="Times New Roman" w:cs="Times New Roman"/>
        </w:rPr>
        <w:t xml:space="preserve"> that the primary/secondary distinction is a “discovery” in natural philosophy. He does say that the modern philosophy “leaves us no just nor satisfactory idea</w:t>
      </w:r>
      <w:r>
        <w:rPr>
          <w:rFonts w:ascii="Times New Roman" w:hAnsi="Times New Roman" w:cs="Times New Roman"/>
        </w:rPr>
        <w:t xml:space="preserve"> . . . </w:t>
      </w:r>
      <w:r w:rsidRPr="00F31292">
        <w:rPr>
          <w:rFonts w:ascii="Times New Roman" w:hAnsi="Times New Roman" w:cs="Times New Roman"/>
        </w:rPr>
        <w:t>of matter” (</w:t>
      </w:r>
      <w:r w:rsidRPr="00F31292">
        <w:rPr>
          <w:rFonts w:ascii="Times New Roman" w:hAnsi="Times New Roman" w:cs="Times New Roman"/>
          <w:i/>
          <w:iCs/>
        </w:rPr>
        <w:t>T</w:t>
      </w:r>
      <w:r w:rsidRPr="00F31292">
        <w:rPr>
          <w:rFonts w:ascii="Times New Roman" w:hAnsi="Times New Roman" w:cs="Times New Roman"/>
        </w:rPr>
        <w:t xml:space="preserve"> 1.4.4.9). But this stops short of recommending the rejection of the negative commitment. Likewise, Hume does say that the skeptical argument in the second phase constitutes an “objection” to the modern philosophy (</w:t>
      </w:r>
      <w:r w:rsidRPr="00F31292">
        <w:rPr>
          <w:rFonts w:ascii="Times New Roman" w:hAnsi="Times New Roman" w:cs="Times New Roman"/>
          <w:i/>
          <w:iCs/>
        </w:rPr>
        <w:t>T</w:t>
      </w:r>
      <w:r w:rsidRPr="00F31292">
        <w:rPr>
          <w:rFonts w:ascii="Times New Roman" w:hAnsi="Times New Roman" w:cs="Times New Roman"/>
        </w:rPr>
        <w:t xml:space="preserve"> 1.4.4.6). But to show that the modern philosophy’s negative commitment is problematic in the respect identified by MP’s skeptical argument is not yet to affirm that the commitment ought to be rejected. There is a respect in which the skeptical argument shows the modern philosophy to be false. The modern philosophy holds that we have an “adequate notion” of the primary qualities (</w:t>
      </w:r>
      <w:r w:rsidRPr="00F31292">
        <w:rPr>
          <w:rFonts w:ascii="Times New Roman" w:hAnsi="Times New Roman" w:cs="Times New Roman"/>
          <w:i/>
          <w:iCs/>
        </w:rPr>
        <w:t>T</w:t>
      </w:r>
      <w:r w:rsidRPr="00F31292">
        <w:rPr>
          <w:rFonts w:ascii="Times New Roman" w:hAnsi="Times New Roman" w:cs="Times New Roman"/>
        </w:rPr>
        <w:t xml:space="preserve"> </w:t>
      </w:r>
      <w:r w:rsidRPr="00F31292">
        <w:rPr>
          <w:rFonts w:ascii="Times New Roman" w:hAnsi="Times New Roman" w:cs="Times New Roman"/>
        </w:rPr>
        <w:lastRenderedPageBreak/>
        <w:t xml:space="preserve">1.4.4.5). And MP shows that this is false insofar as the negative commitment is accepted. But because this thesis about the adequacy of our notion of primary qualities is neither equivalent to nor entailed by the negative commitment, to establish that the former is false is not to argue that the negative commitment ought to be rejected. Further, Hume begins </w:t>
      </w:r>
      <w:r w:rsidRPr="00F31292">
        <w:rPr>
          <w:rFonts w:ascii="Times New Roman" w:hAnsi="Times New Roman" w:cs="Times New Roman"/>
          <w:i/>
          <w:iCs/>
        </w:rPr>
        <w:t>T</w:t>
      </w:r>
      <w:r w:rsidRPr="00F31292">
        <w:rPr>
          <w:rFonts w:ascii="Times New Roman" w:hAnsi="Times New Roman" w:cs="Times New Roman"/>
        </w:rPr>
        <w:t xml:space="preserve"> 1.4.5 by restating MP’s conclusion: he claims to have “found such contradictions and difficulties in every system concerning external objects, and in the idea of matter, which we fancy so clear and determinate” (</w:t>
      </w:r>
      <w:r w:rsidRPr="00F31292">
        <w:rPr>
          <w:rFonts w:ascii="Times New Roman" w:hAnsi="Times New Roman" w:cs="Times New Roman"/>
          <w:i/>
          <w:iCs/>
        </w:rPr>
        <w:t>T</w:t>
      </w:r>
      <w:r w:rsidRPr="00F31292">
        <w:rPr>
          <w:rFonts w:ascii="Times New Roman" w:hAnsi="Times New Roman" w:cs="Times New Roman"/>
        </w:rPr>
        <w:t xml:space="preserve"> 1.4.5.1). But, as we have seen, the standard reading holds that the idea of body is defective only if the commitments of the modern philosophy are accepted––that is, only if the idea of body is understood as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hAnsi="Times New Roman" w:cs="Times New Roman"/>
        </w:rPr>
        <w:t xml:space="preserve">. Thus, if, as that reading maintains, MP’s conclusion is the denial of the negative commitment, then there is </w:t>
      </w:r>
      <w:r w:rsidRPr="00F31292">
        <w:rPr>
          <w:rFonts w:ascii="Times New Roman" w:hAnsi="Times New Roman" w:cs="Times New Roman"/>
          <w:i/>
          <w:iCs/>
        </w:rPr>
        <w:t>after MP</w:t>
      </w:r>
      <w:r w:rsidRPr="00F31292">
        <w:rPr>
          <w:rFonts w:ascii="Times New Roman" w:hAnsi="Times New Roman" w:cs="Times New Roman"/>
        </w:rPr>
        <w:t xml:space="preserve"> no remaining “contradiction” in the idea of body. Against the standard reading, the denial of the modern philosophy’s negative commitment is neither a premise nor a conclusion of MP’s skeptical argument.</w:t>
      </w:r>
    </w:p>
    <w:p w14:paraId="2D428DED" w14:textId="5DC5E75D"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A</w:t>
      </w:r>
      <w:r>
        <w:rPr>
          <w:rFonts w:ascii="Times New Roman" w:hAnsi="Times New Roman" w:cs="Times New Roman"/>
        </w:rPr>
        <w:t>nother</w:t>
      </w:r>
      <w:r w:rsidRPr="00F31292">
        <w:rPr>
          <w:rFonts w:ascii="Times New Roman" w:hAnsi="Times New Roman" w:cs="Times New Roman"/>
        </w:rPr>
        <w:t xml:space="preserve"> reading is available. Hume’s conclusion in MP is a dilemma. The first horn is established by the first phase, where the causal argument proves that any account of body that denies the negative commitment of the modern philosophy is false. The second horn is established by the second phase. I have argued in favor of the wide reading of the scope of Hume’s skeptical argument, according to which it establishes that </w:t>
      </w:r>
      <w:r w:rsidRPr="00F31292">
        <w:rPr>
          <w:rFonts w:ascii="Times New Roman" w:hAnsi="Times New Roman" w:cs="Times New Roman"/>
          <w:i/>
          <w:iCs/>
        </w:rPr>
        <w:t>any</w:t>
      </w:r>
      <w:r w:rsidRPr="00F31292">
        <w:rPr>
          <w:rFonts w:ascii="Times New Roman" w:hAnsi="Times New Roman" w:cs="Times New Roman"/>
        </w:rPr>
        <w:t xml:space="preserve"> account of body that accepts the negative commitment renders the idea of body incoherent. If an account of body draws the distinction between primary and secondary qualities and excludes the latter from the idea of body, then the idea of body associated with that account is incoherent. MP’s conclusion is that </w:t>
      </w:r>
      <w:r w:rsidRPr="00F31292">
        <w:rPr>
          <w:rFonts w:ascii="Times New Roman" w:hAnsi="Times New Roman" w:cs="Times New Roman"/>
          <w:i/>
          <w:iCs/>
        </w:rPr>
        <w:t>any</w:t>
      </w:r>
      <w:r w:rsidRPr="00F31292">
        <w:rPr>
          <w:rFonts w:ascii="Times New Roman" w:hAnsi="Times New Roman" w:cs="Times New Roman"/>
        </w:rPr>
        <w:t xml:space="preserve"> account of body leaves us with no “adequate notion” of body, because any account of body unavoidably renders the idea of body either false or incoherent (</w:t>
      </w:r>
      <w:r w:rsidRPr="00F31292">
        <w:rPr>
          <w:rFonts w:ascii="Times New Roman" w:hAnsi="Times New Roman" w:cs="Times New Roman"/>
          <w:i/>
          <w:iCs/>
        </w:rPr>
        <w:t>T</w:t>
      </w:r>
      <w:r w:rsidRPr="00F31292">
        <w:rPr>
          <w:rFonts w:ascii="Times New Roman" w:hAnsi="Times New Roman" w:cs="Times New Roman"/>
        </w:rPr>
        <w:t xml:space="preserve"> 1.4.4.5). Against the standard reading, the section’s target is not merely the particular account of body endorsed by the modern philosophy </w:t>
      </w:r>
      <w:r w:rsidRPr="00F31292">
        <w:rPr>
          <w:rFonts w:ascii="Times New Roman" w:hAnsi="Times New Roman" w:cs="Times New Roman"/>
        </w:rPr>
        <w:lastRenderedPageBreak/>
        <w:t xml:space="preserve">but rather is any account of body whatever. The dilemma with which the argument concludes implies a deeply rooted inadequacy in human cognition of </w:t>
      </w:r>
      <w:r>
        <w:rPr>
          <w:rFonts w:ascii="Times New Roman" w:hAnsi="Times New Roman" w:cs="Times New Roman"/>
        </w:rPr>
        <w:t>body</w:t>
      </w:r>
      <w:r w:rsidRPr="00F31292">
        <w:rPr>
          <w:rFonts w:ascii="Times New Roman" w:hAnsi="Times New Roman" w:cs="Times New Roman"/>
        </w:rPr>
        <w:t>.</w:t>
      </w:r>
      <w:r w:rsidRPr="00F31292">
        <w:rPr>
          <w:rStyle w:val="FootnoteReference"/>
          <w:rFonts w:ascii="Times New Roman" w:hAnsi="Times New Roman" w:cs="Times New Roman"/>
        </w:rPr>
        <w:footnoteReference w:id="41"/>
      </w:r>
    </w:p>
    <w:p w14:paraId="349B3D14" w14:textId="63A957D1"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What does the dilemma for which MP argues imply about the epistemic standing of the belief in body? Distinguish between </w:t>
      </w:r>
      <w:r w:rsidRPr="00F31292">
        <w:rPr>
          <w:rFonts w:ascii="Times New Roman" w:hAnsi="Times New Roman" w:cs="Times New Roman"/>
          <w:i/>
          <w:iCs/>
        </w:rPr>
        <w:t>theoretical skepticism</w:t>
      </w:r>
      <w:r w:rsidRPr="00F31292">
        <w:rPr>
          <w:rFonts w:ascii="Times New Roman" w:hAnsi="Times New Roman" w:cs="Times New Roman"/>
        </w:rPr>
        <w:t xml:space="preserve"> and </w:t>
      </w:r>
      <w:r w:rsidRPr="00F31292">
        <w:rPr>
          <w:rFonts w:ascii="Times New Roman" w:hAnsi="Times New Roman" w:cs="Times New Roman"/>
          <w:i/>
          <w:iCs/>
        </w:rPr>
        <w:t>prescriptive skepticism</w:t>
      </w:r>
      <w:r w:rsidRPr="00F31292">
        <w:rPr>
          <w:rFonts w:ascii="Times New Roman" w:hAnsi="Times New Roman" w:cs="Times New Roman"/>
        </w:rPr>
        <w:t>.</w:t>
      </w:r>
      <w:r w:rsidRPr="00F31292">
        <w:rPr>
          <w:rStyle w:val="FootnoteReference"/>
          <w:rFonts w:ascii="Times New Roman" w:hAnsi="Times New Roman" w:cs="Times New Roman"/>
        </w:rPr>
        <w:footnoteReference w:id="42"/>
      </w:r>
      <w:r w:rsidRPr="00F31292">
        <w:rPr>
          <w:rFonts w:ascii="Times New Roman" w:hAnsi="Times New Roman" w:cs="Times New Roman"/>
        </w:rPr>
        <w:t xml:space="preserve"> To accept theoretical skepticism about a belief is to hold that the belief lacks epistemic merit. To accept prescriptive skepticism about a belief is to recommend that the belief be suspended.</w:t>
      </w:r>
      <w:r w:rsidRPr="00F31292">
        <w:rPr>
          <w:rStyle w:val="FootnoteReference"/>
          <w:rFonts w:ascii="Times New Roman" w:hAnsi="Times New Roman" w:cs="Times New Roman"/>
        </w:rPr>
        <w:footnoteReference w:id="43"/>
      </w:r>
      <w:r w:rsidRPr="00F31292">
        <w:rPr>
          <w:rFonts w:ascii="Times New Roman" w:hAnsi="Times New Roman" w:cs="Times New Roman"/>
        </w:rPr>
        <w:t xml:space="preserve">  MP supports theoretical skepticism about the belief in body. If one does not accept the negative commitment of the modern philosophy and, accordingly, includes secondary qualities in the idea of body, then one’s belief in body is false. By contrast, if one accepts the negative commitment and, accordingly, excludes secondary qualities from the idea of body, then, because body so understood is inconceivable, one is unable to believe in body. A “just and regular” instance of causal reasoning implies that the only achievable belief in body is false, casting doubt on the epistemic merit of that belief (</w:t>
      </w:r>
      <w:r w:rsidRPr="00F31292">
        <w:rPr>
          <w:rFonts w:ascii="Times New Roman" w:hAnsi="Times New Roman" w:cs="Times New Roman"/>
          <w:i/>
          <w:iCs/>
        </w:rPr>
        <w:t>T</w:t>
      </w:r>
      <w:r w:rsidRPr="00F31292">
        <w:rPr>
          <w:rFonts w:ascii="Times New Roman" w:hAnsi="Times New Roman" w:cs="Times New Roman"/>
        </w:rPr>
        <w:t xml:space="preserve"> 1.4.7.4). But Hume does not take MP’s skeptical argument to imply prescriptive skepticism about the belief in body. Disbelief in body is possible “in words only” (</w:t>
      </w:r>
      <w:r w:rsidRPr="00F31292">
        <w:rPr>
          <w:rFonts w:ascii="Times New Roman" w:hAnsi="Times New Roman" w:cs="Times New Roman"/>
          <w:i/>
          <w:iCs/>
        </w:rPr>
        <w:t>T</w:t>
      </w:r>
      <w:r w:rsidRPr="00F31292">
        <w:rPr>
          <w:rFonts w:ascii="Times New Roman" w:hAnsi="Times New Roman" w:cs="Times New Roman"/>
        </w:rPr>
        <w:t xml:space="preserve"> 1.4.2.50). A prescription to suspend belief in body would be idle.</w:t>
      </w:r>
      <w:r w:rsidRPr="00F31292">
        <w:rPr>
          <w:rStyle w:val="FootnoteReference"/>
          <w:rFonts w:ascii="Times New Roman" w:hAnsi="Times New Roman" w:cs="Times New Roman"/>
        </w:rPr>
        <w:footnoteReference w:id="44"/>
      </w:r>
    </w:p>
    <w:p w14:paraId="13E40CA6" w14:textId="7A65E7F4"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I have argued that MP’s skeptical force is greater than the standard reading suggests: the section’s chief aim is to establish a dilemma faced by any account of body. In the closing section </w:t>
      </w:r>
      <w:r w:rsidRPr="00F31292">
        <w:rPr>
          <w:rFonts w:ascii="Times New Roman" w:hAnsi="Times New Roman" w:cs="Times New Roman"/>
        </w:rPr>
        <w:lastRenderedPageBreak/>
        <w:t xml:space="preserve">of the </w:t>
      </w:r>
      <w:r w:rsidRPr="00F31292">
        <w:rPr>
          <w:rFonts w:ascii="Times New Roman" w:hAnsi="Times New Roman" w:cs="Times New Roman"/>
          <w:i/>
          <w:iCs/>
        </w:rPr>
        <w:t>Treatise</w:t>
      </w:r>
      <w:r w:rsidRPr="00F31292">
        <w:rPr>
          <w:rFonts w:ascii="Times New Roman" w:hAnsi="Times New Roman" w:cs="Times New Roman"/>
        </w:rPr>
        <w:t xml:space="preserve">’s first Book, </w:t>
      </w:r>
      <w:r w:rsidRPr="00F31292">
        <w:rPr>
          <w:rFonts w:ascii="Times New Roman" w:hAnsi="Times New Roman" w:cs="Times New Roman"/>
          <w:i/>
          <w:iCs/>
        </w:rPr>
        <w:t>T</w:t>
      </w:r>
      <w:r w:rsidRPr="00F31292">
        <w:rPr>
          <w:rFonts w:ascii="Times New Roman" w:hAnsi="Times New Roman" w:cs="Times New Roman"/>
        </w:rPr>
        <w:t xml:space="preserve"> 1.4.7, “Conclusion of this book,” Hume argues that MP, in conjunction with </w:t>
      </w:r>
      <w:r w:rsidRPr="00F31292">
        <w:rPr>
          <w:rFonts w:ascii="Times New Roman" w:hAnsi="Times New Roman" w:cs="Times New Roman"/>
          <w:i/>
          <w:iCs/>
        </w:rPr>
        <w:t>T</w:t>
      </w:r>
      <w:r w:rsidRPr="00F31292">
        <w:rPr>
          <w:rFonts w:ascii="Times New Roman" w:hAnsi="Times New Roman" w:cs="Times New Roman"/>
        </w:rPr>
        <w:t xml:space="preserve"> 1.4.2’s etiology of the belief in body, generates an additional skeptical result. This result is one of the “desponding reflections” that engender the crisis narrated in </w:t>
      </w:r>
      <w:r w:rsidRPr="00F31292">
        <w:rPr>
          <w:rFonts w:ascii="Times New Roman" w:hAnsi="Times New Roman" w:cs="Times New Roman"/>
          <w:i/>
          <w:iCs/>
        </w:rPr>
        <w:t>T</w:t>
      </w:r>
      <w:r w:rsidRPr="00F31292">
        <w:rPr>
          <w:rFonts w:ascii="Times New Roman" w:hAnsi="Times New Roman" w:cs="Times New Roman"/>
        </w:rPr>
        <w:t xml:space="preserve"> 1.4.7: </w:t>
      </w:r>
    </w:p>
    <w:p w14:paraId="7DDFD176" w14:textId="7A6EF43D" w:rsidR="00F959A0" w:rsidRPr="00F31292" w:rsidRDefault="00F959A0" w:rsidP="00F959A0">
      <w:pPr>
        <w:pStyle w:val="BlockText"/>
        <w:spacing w:before="240" w:after="480" w:line="480" w:lineRule="auto"/>
        <w:ind w:left="720" w:right="0"/>
        <w:jc w:val="both"/>
        <w:rPr>
          <w:rFonts w:ascii="Times New Roman" w:hAnsi="Times New Roman" w:cs="Times New Roman"/>
        </w:rPr>
      </w:pPr>
      <w:r w:rsidRPr="00F31292">
        <w:rPr>
          <w:rFonts w:ascii="Times New Roman" w:hAnsi="Times New Roman" w:cs="Times New Roman"/>
        </w:rPr>
        <w:t>‘Tis [the imagination], which makes us reason from causes and effects; and 'tis the same principle, which convinces us of the continu’d existence of external objects, when absent from the senses. But tho’ these two operations be equally natural and necessary in the human mind, yet in some circumstances they are* directly contrary, nor is it possible for us to reason justly and regularly from causes and effects, and at the same time believe the continu'd existence of matter. How then shall we adjust those principles together? Which of them shall we prefer? Or in case we prefer neither of them, but successively assent to both, as is usual among philosophers, with what confidence can we afterwards usurp that glorious title, when we thus knowingly embrace a manifest contradiction? (</w:t>
      </w:r>
      <w:r w:rsidRPr="00F31292">
        <w:rPr>
          <w:rFonts w:ascii="Times New Roman" w:hAnsi="Times New Roman" w:cs="Times New Roman"/>
          <w:i/>
          <w:iCs/>
        </w:rPr>
        <w:t>T</w:t>
      </w:r>
      <w:r w:rsidRPr="00F31292">
        <w:rPr>
          <w:rFonts w:ascii="Times New Roman" w:hAnsi="Times New Roman" w:cs="Times New Roman"/>
        </w:rPr>
        <w:t xml:space="preserve"> 1.4.7.4)</w:t>
      </w:r>
      <w:r w:rsidRPr="00F31292">
        <w:rPr>
          <w:rStyle w:val="FootnoteReference"/>
          <w:rFonts w:ascii="Times New Roman" w:hAnsi="Times New Roman" w:cs="Times New Roman"/>
        </w:rPr>
        <w:footnoteReference w:id="45"/>
      </w:r>
    </w:p>
    <w:p w14:paraId="09575362" w14:textId="38B8FDC5" w:rsidR="00F959A0" w:rsidRPr="00F31292" w:rsidRDefault="00F959A0" w:rsidP="00F959A0">
      <w:pPr>
        <w:pStyle w:val="BodyText"/>
        <w:spacing w:before="0" w:after="0" w:line="480" w:lineRule="auto"/>
        <w:jc w:val="both"/>
        <w:rPr>
          <w:rFonts w:ascii="Times New Roman" w:hAnsi="Times New Roman" w:cs="Times New Roman"/>
        </w:rPr>
      </w:pPr>
      <w:r w:rsidRPr="00F31292">
        <w:rPr>
          <w:rFonts w:ascii="Times New Roman" w:hAnsi="Times New Roman" w:cs="Times New Roman"/>
        </w:rPr>
        <w:t xml:space="preserve">There is a conflict between two operations of the imagination. On the one hand, </w:t>
      </w:r>
      <w:r w:rsidRPr="00F31292">
        <w:rPr>
          <w:rFonts w:ascii="Times New Roman" w:hAnsi="Times New Roman" w:cs="Times New Roman"/>
          <w:i/>
          <w:iCs/>
        </w:rPr>
        <w:t>T</w:t>
      </w:r>
      <w:r w:rsidRPr="00F31292">
        <w:rPr>
          <w:rFonts w:ascii="Times New Roman" w:hAnsi="Times New Roman" w:cs="Times New Roman"/>
        </w:rPr>
        <w:t xml:space="preserve"> 1.4.2 established</w:t>
      </w:r>
      <w:r>
        <w:rPr>
          <w:rFonts w:ascii="Times New Roman" w:hAnsi="Times New Roman" w:cs="Times New Roman"/>
        </w:rPr>
        <w:t xml:space="preserve"> </w:t>
      </w:r>
      <w:r w:rsidRPr="00F31292">
        <w:rPr>
          <w:rFonts w:ascii="Times New Roman" w:hAnsi="Times New Roman" w:cs="Times New Roman"/>
        </w:rPr>
        <w:t>that the belief in the continued and distinct existence of body is a product of “trivial” propensities</w:t>
      </w:r>
      <w:r>
        <w:rPr>
          <w:rFonts w:ascii="Times New Roman" w:hAnsi="Times New Roman" w:cs="Times New Roman"/>
        </w:rPr>
        <w:t xml:space="preserve"> </w:t>
      </w:r>
      <w:r w:rsidRPr="00F31292">
        <w:rPr>
          <w:rFonts w:ascii="Times New Roman" w:hAnsi="Times New Roman" w:cs="Times New Roman"/>
        </w:rPr>
        <w:t>of the imagination, such as the propensity to confound related ideas (</w:t>
      </w:r>
      <w:r w:rsidRPr="00F31292">
        <w:rPr>
          <w:rFonts w:ascii="Times New Roman" w:hAnsi="Times New Roman" w:cs="Times New Roman"/>
          <w:i/>
          <w:iCs/>
        </w:rPr>
        <w:t>T</w:t>
      </w:r>
      <w:r w:rsidRPr="00F31292">
        <w:rPr>
          <w:rFonts w:ascii="Times New Roman" w:hAnsi="Times New Roman" w:cs="Times New Roman"/>
        </w:rPr>
        <w:t xml:space="preserve"> 1.4.2.56). On the other hand, MP established that one’s engaging in “just” causal reasoning—another operation of the imagination—renders one incapable of believing in the continued and distinct existence of body.</w:t>
      </w:r>
      <w:r w:rsidRPr="00F31292">
        <w:rPr>
          <w:rStyle w:val="FootnoteReference"/>
          <w:rFonts w:ascii="Times New Roman" w:hAnsi="Times New Roman" w:cs="Times New Roman"/>
        </w:rPr>
        <w:footnoteReference w:id="46"/>
      </w:r>
      <w:r w:rsidRPr="00F31292">
        <w:rPr>
          <w:rFonts w:ascii="Times New Roman" w:hAnsi="Times New Roman" w:cs="Times New Roman"/>
        </w:rPr>
        <w:t xml:space="preserve"> As we have seen, the section’s first phase offers an inductive proof of the negative commitment of </w:t>
      </w:r>
      <w:r w:rsidRPr="00F31292">
        <w:rPr>
          <w:rFonts w:ascii="Times New Roman" w:hAnsi="Times New Roman" w:cs="Times New Roman"/>
        </w:rPr>
        <w:lastRenderedPageBreak/>
        <w:t xml:space="preserve">the modern philosophy, and the second phase shows that that commitment in conjunction with the positive commitment leaves one with no “consistent” idea of body and renders body inconceivable. Because belief in the existence of </w:t>
      </w:r>
      <w:r w:rsidRPr="00F31292">
        <w:rPr>
          <w:rFonts w:ascii="Times New Roman" w:hAnsi="Times New Roman" w:cs="Times New Roman"/>
          <w:i/>
          <w:iCs/>
        </w:rPr>
        <w:t>x</w:t>
      </w:r>
      <w:r w:rsidRPr="00F31292">
        <w:rPr>
          <w:rFonts w:ascii="Times New Roman" w:hAnsi="Times New Roman" w:cs="Times New Roman"/>
        </w:rPr>
        <w:t xml:space="preserve"> requires a conception of </w:t>
      </w:r>
      <w:r w:rsidRPr="00F31292">
        <w:rPr>
          <w:rFonts w:ascii="Times New Roman" w:hAnsi="Times New Roman" w:cs="Times New Roman"/>
          <w:i/>
          <w:iCs/>
        </w:rPr>
        <w:t>x</w:t>
      </w:r>
      <w:r w:rsidRPr="00F31292">
        <w:rPr>
          <w:rFonts w:ascii="Times New Roman" w:hAnsi="Times New Roman" w:cs="Times New Roman"/>
        </w:rPr>
        <w:t>, one’s endorsing the commitments of the modern philosophy leaves one unable to believe in the continued and distinct existence of body. The imagination is at odds with itself: one operation of that faculty undermines another.</w:t>
      </w:r>
    </w:p>
    <w:p w14:paraId="092F49D7" w14:textId="65186358"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closing paragraphs of </w:t>
      </w:r>
      <w:r w:rsidRPr="00F31292">
        <w:rPr>
          <w:rFonts w:ascii="Times New Roman" w:hAnsi="Times New Roman" w:cs="Times New Roman"/>
          <w:i/>
          <w:iCs/>
        </w:rPr>
        <w:t>T</w:t>
      </w:r>
      <w:r w:rsidRPr="00F31292">
        <w:rPr>
          <w:rFonts w:ascii="Times New Roman" w:hAnsi="Times New Roman" w:cs="Times New Roman"/>
        </w:rPr>
        <w:t xml:space="preserve"> 1.4.7 describe the revival of Hume’s commitment to inquiry after the abatement of his epistemic crisis. These paragraphs appear to mitigate the skeptical conclusions that had inspired his “melancholy and delirium” (</w:t>
      </w:r>
      <w:r w:rsidRPr="00F31292">
        <w:rPr>
          <w:rFonts w:ascii="Times New Roman" w:hAnsi="Times New Roman" w:cs="Times New Roman"/>
          <w:i/>
          <w:iCs/>
        </w:rPr>
        <w:t>T</w:t>
      </w:r>
      <w:r w:rsidRPr="00F31292">
        <w:rPr>
          <w:rFonts w:ascii="Times New Roman" w:hAnsi="Times New Roman" w:cs="Times New Roman"/>
        </w:rPr>
        <w:t xml:space="preserve"> 1.4.7.9). Does this mitigation imply a rejection of the skeptical results of MP?</w:t>
      </w:r>
      <w:r w:rsidRPr="00F31292">
        <w:rPr>
          <w:rStyle w:val="FootnoteReference"/>
          <w:rFonts w:ascii="Times New Roman" w:hAnsi="Times New Roman" w:cs="Times New Roman"/>
        </w:rPr>
        <w:footnoteReference w:id="47"/>
      </w:r>
      <w:r w:rsidRPr="00F31292">
        <w:rPr>
          <w:rFonts w:ascii="Times New Roman" w:hAnsi="Times New Roman" w:cs="Times New Roman"/>
        </w:rPr>
        <w:t xml:space="preserve"> According to the most prominent interpretation of </w:t>
      </w:r>
      <w:r w:rsidRPr="00F31292">
        <w:rPr>
          <w:rFonts w:ascii="Times New Roman" w:hAnsi="Times New Roman" w:cs="Times New Roman"/>
          <w:i/>
          <w:iCs/>
        </w:rPr>
        <w:t>T</w:t>
      </w:r>
      <w:r w:rsidRPr="00F31292">
        <w:rPr>
          <w:rFonts w:ascii="Times New Roman" w:hAnsi="Times New Roman" w:cs="Times New Roman"/>
        </w:rPr>
        <w:t xml:space="preserve"> 1.4.7, the central pillar of section’s epistemology is the </w:t>
      </w:r>
      <w:r w:rsidRPr="00F31292">
        <w:rPr>
          <w:rFonts w:ascii="Times New Roman" w:hAnsi="Times New Roman" w:cs="Times New Roman"/>
          <w:i/>
          <w:iCs/>
        </w:rPr>
        <w:t>title principle</w:t>
      </w:r>
      <w:r w:rsidRPr="00F31292">
        <w:rPr>
          <w:rFonts w:ascii="Times New Roman" w:hAnsi="Times New Roman" w:cs="Times New Roman"/>
        </w:rPr>
        <w:t>: “Where reason is lively, and mixes itself with some propensity, it ought to be assented to. Where it does not, it never can have any title to operate upon us” (</w:t>
      </w:r>
      <w:r w:rsidRPr="00F31292">
        <w:rPr>
          <w:rFonts w:ascii="Times New Roman" w:hAnsi="Times New Roman" w:cs="Times New Roman"/>
          <w:i/>
          <w:iCs/>
        </w:rPr>
        <w:t>T</w:t>
      </w:r>
      <w:r w:rsidRPr="00F31292">
        <w:rPr>
          <w:rFonts w:ascii="Times New Roman" w:hAnsi="Times New Roman" w:cs="Times New Roman"/>
        </w:rPr>
        <w:t xml:space="preserve"> 1.4.7.11).</w:t>
      </w:r>
      <w:r w:rsidRPr="00F31292">
        <w:rPr>
          <w:rStyle w:val="FootnoteReference"/>
          <w:rFonts w:ascii="Times New Roman" w:hAnsi="Times New Roman" w:cs="Times New Roman"/>
        </w:rPr>
        <w:footnoteReference w:id="48"/>
      </w:r>
      <w:r w:rsidRPr="00F31292">
        <w:rPr>
          <w:rFonts w:ascii="Times New Roman" w:hAnsi="Times New Roman" w:cs="Times New Roman"/>
        </w:rPr>
        <w:t xml:space="preserve"> We are justified in rejecting instances of reasoning that are not “lively” and do not “mix” with a psychological propensity. Hume indicates that two of the propensities salient to the principle are the passions of curiosity and ambition (</w:t>
      </w:r>
      <w:r w:rsidRPr="00F31292">
        <w:rPr>
          <w:rFonts w:ascii="Times New Roman" w:hAnsi="Times New Roman" w:cs="Times New Roman"/>
          <w:i/>
          <w:iCs/>
        </w:rPr>
        <w:t>T</w:t>
      </w:r>
      <w:r w:rsidRPr="00F31292">
        <w:rPr>
          <w:rFonts w:ascii="Times New Roman" w:hAnsi="Times New Roman" w:cs="Times New Roman"/>
        </w:rPr>
        <w:t xml:space="preserve"> 1.4.7.12). </w:t>
      </w:r>
    </w:p>
    <w:p w14:paraId="3907897B" w14:textId="6775B71A"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The causal argument for the negative commitment of the modern philosophy is not, in Hume’s view, among the instances of reasoning that the title principle licenses us to reject. He regards the argument as a simple application of one of his “rules by which judge causes and effects.” That the use of these rules is licensed by the title principle is evident from his continued use of them in, for example, his inquiry into the indirect passions (</w:t>
      </w:r>
      <w:r w:rsidRPr="00F31292">
        <w:rPr>
          <w:rFonts w:ascii="Times New Roman" w:hAnsi="Times New Roman" w:cs="Times New Roman"/>
          <w:i/>
          <w:iCs/>
        </w:rPr>
        <w:t>T</w:t>
      </w:r>
      <w:r w:rsidRPr="00F31292">
        <w:rPr>
          <w:rFonts w:ascii="Times New Roman" w:hAnsi="Times New Roman" w:cs="Times New Roman"/>
        </w:rPr>
        <w:t xml:space="preserve"> 2.1.8.7). And the widespread </w:t>
      </w:r>
      <w:r w:rsidRPr="00F31292">
        <w:rPr>
          <w:rFonts w:ascii="Times New Roman" w:hAnsi="Times New Roman" w:cs="Times New Roman"/>
        </w:rPr>
        <w:lastRenderedPageBreak/>
        <w:t>endorsement of the causal argument among Hume’s predecessors suggests that its application of the rules mixes with at least one of our propensities: curiosity. Further, his regarding the causal argument as a “lively” instance of probable reasoning is suggested by his claim that its conclusion is “as satisfactory as can possibly be imagin’d” (</w:t>
      </w:r>
      <w:r w:rsidRPr="00F31292">
        <w:rPr>
          <w:rFonts w:ascii="Times New Roman" w:hAnsi="Times New Roman" w:cs="Times New Roman"/>
          <w:i/>
          <w:iCs/>
        </w:rPr>
        <w:t>T</w:t>
      </w:r>
      <w:r w:rsidRPr="00F31292">
        <w:rPr>
          <w:rFonts w:ascii="Times New Roman" w:hAnsi="Times New Roman" w:cs="Times New Roman"/>
        </w:rPr>
        <w:t xml:space="preserve"> 1.4.4.4). That Hume holds that the causal argument survives his introduction of the title principle is implied by his regarding the negative commitment as established fact </w:t>
      </w:r>
      <w:r w:rsidRPr="00F31292">
        <w:rPr>
          <w:rFonts w:ascii="Times New Roman" w:hAnsi="Times New Roman" w:cs="Times New Roman"/>
          <w:i/>
          <w:iCs/>
        </w:rPr>
        <w:t>after T 1.4.7</w:t>
      </w:r>
      <w:r w:rsidRPr="00F31292">
        <w:rPr>
          <w:rFonts w:ascii="Times New Roman" w:hAnsi="Times New Roman" w:cs="Times New Roman"/>
        </w:rPr>
        <w:t xml:space="preserve">. As we have seen, he says later in the </w:t>
      </w:r>
      <w:r w:rsidRPr="00F31292">
        <w:rPr>
          <w:rFonts w:ascii="Times New Roman" w:hAnsi="Times New Roman" w:cs="Times New Roman"/>
          <w:i/>
          <w:iCs/>
        </w:rPr>
        <w:t>Treatise</w:t>
      </w:r>
      <w:r w:rsidRPr="00F31292">
        <w:rPr>
          <w:rFonts w:ascii="Times New Roman" w:hAnsi="Times New Roman" w:cs="Times New Roman"/>
        </w:rPr>
        <w:t xml:space="preserve"> that the negative commitment is a “discovery” that is a “considerable advancement of the speculative sciences” (</w:t>
      </w:r>
      <w:r w:rsidRPr="00F31292">
        <w:rPr>
          <w:rFonts w:ascii="Times New Roman" w:hAnsi="Times New Roman" w:cs="Times New Roman"/>
          <w:i/>
          <w:iCs/>
        </w:rPr>
        <w:t>T</w:t>
      </w:r>
      <w:r w:rsidRPr="00F31292">
        <w:rPr>
          <w:rFonts w:ascii="Times New Roman" w:hAnsi="Times New Roman" w:cs="Times New Roman"/>
        </w:rPr>
        <w:t xml:space="preserve"> 3.1.1.26). Now, just as the title principle does not, in Hume’s view, undermine the causal argument for the negative commitment, so too the principle is inapt to remedy the conceptual defects from which the idea of body suffers when that commitment is accepted. The principle tells us which instances of reasoning are acceptable; it cannot itself repair conceptual defects of ideas.  </w:t>
      </w:r>
    </w:p>
    <w:p w14:paraId="7D0FCFB6" w14:textId="43D09962"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Hume does not take the title principle to undermine the skeptical results of MP. The conflict between MP’s skeptical conclusions and </w:t>
      </w:r>
      <w:r w:rsidRPr="00F31292">
        <w:rPr>
          <w:rFonts w:ascii="Times New Roman" w:hAnsi="Times New Roman" w:cs="Times New Roman"/>
          <w:i/>
          <w:iCs/>
        </w:rPr>
        <w:t>T</w:t>
      </w:r>
      <w:r w:rsidRPr="00F31292">
        <w:rPr>
          <w:rFonts w:ascii="Times New Roman" w:hAnsi="Times New Roman" w:cs="Times New Roman"/>
        </w:rPr>
        <w:t xml:space="preserve"> 1.4.2’s identification of the etiology of the belief in body is not eliminated by the epistemology of </w:t>
      </w:r>
      <w:r w:rsidRPr="00F31292">
        <w:rPr>
          <w:rFonts w:ascii="Times New Roman" w:hAnsi="Times New Roman" w:cs="Times New Roman"/>
          <w:i/>
          <w:iCs/>
        </w:rPr>
        <w:t>T</w:t>
      </w:r>
      <w:r w:rsidRPr="00F31292">
        <w:rPr>
          <w:rFonts w:ascii="Times New Roman" w:hAnsi="Times New Roman" w:cs="Times New Roman"/>
        </w:rPr>
        <w:t xml:space="preserve"> 1.4.7. Hume does not abandon the belief in body in the face of this result. Throughout the </w:t>
      </w:r>
      <w:r w:rsidRPr="00F31292">
        <w:rPr>
          <w:rFonts w:ascii="Times New Roman" w:hAnsi="Times New Roman" w:cs="Times New Roman"/>
          <w:i/>
          <w:iCs/>
        </w:rPr>
        <w:t>Treatise’</w:t>
      </w:r>
      <w:r w:rsidRPr="00F31292">
        <w:rPr>
          <w:rFonts w:ascii="Times New Roman" w:hAnsi="Times New Roman" w:cs="Times New Roman"/>
        </w:rPr>
        <w:t>s discussions of morals and the passions</w:t>
      </w:r>
      <w:r w:rsidRPr="00F31292">
        <w:rPr>
          <w:rFonts w:ascii="Times New Roman" w:hAnsi="Times New Roman" w:cs="Times New Roman"/>
          <w:i/>
          <w:iCs/>
        </w:rPr>
        <w:t>,</w:t>
      </w:r>
      <w:r w:rsidRPr="00F31292">
        <w:rPr>
          <w:rFonts w:ascii="Times New Roman" w:hAnsi="Times New Roman" w:cs="Times New Roman"/>
        </w:rPr>
        <w:t xml:space="preserve"> he takes for granted the existence of items that exhibit continued and distinct existence. For example, in his account of the psychological mechanisms that engender pride, he writes that one’s “country, family, children, relations, riches, houses, gardens, horses, dogs, [and] cloaths” may be causes of pride (</w:t>
      </w:r>
      <w:r w:rsidRPr="00F31292">
        <w:rPr>
          <w:rFonts w:ascii="Times New Roman" w:hAnsi="Times New Roman" w:cs="Times New Roman"/>
          <w:i/>
          <w:iCs/>
        </w:rPr>
        <w:t>T</w:t>
      </w:r>
      <w:r w:rsidRPr="00F31292">
        <w:rPr>
          <w:rFonts w:ascii="Times New Roman" w:hAnsi="Times New Roman" w:cs="Times New Roman"/>
        </w:rPr>
        <w:t xml:space="preserve"> 2.1.2.5). Belief in the continued and distinct existence of such items is precluded by acceptance of the negative commitment of the modern philosophy. Thus, the </w:t>
      </w:r>
      <w:r w:rsidRPr="00F31292">
        <w:rPr>
          <w:rFonts w:ascii="Times New Roman" w:hAnsi="Times New Roman" w:cs="Times New Roman"/>
          <w:i/>
          <w:iCs/>
        </w:rPr>
        <w:t>Treatise</w:t>
      </w:r>
      <w:r w:rsidRPr="00F31292">
        <w:rPr>
          <w:rFonts w:ascii="Times New Roman" w:hAnsi="Times New Roman" w:cs="Times New Roman"/>
        </w:rPr>
        <w:t xml:space="preserve">’s later books assume a belief in body that is inconsistent with that commitment and, accordingly, attributes to bodies secondary qualities such as colors. This is not a product Hume’s regarding the causal </w:t>
      </w:r>
      <w:r w:rsidRPr="00F31292">
        <w:rPr>
          <w:rFonts w:ascii="Times New Roman" w:hAnsi="Times New Roman" w:cs="Times New Roman"/>
        </w:rPr>
        <w:lastRenderedPageBreak/>
        <w:t xml:space="preserve">argument as unsound. </w:t>
      </w:r>
      <w:r>
        <w:rPr>
          <w:rFonts w:ascii="Times New Roman" w:hAnsi="Times New Roman" w:cs="Times New Roman"/>
        </w:rPr>
        <w:t>It</w:t>
      </w:r>
      <w:r w:rsidRPr="00F31292">
        <w:rPr>
          <w:rFonts w:ascii="Times New Roman" w:hAnsi="Times New Roman" w:cs="Times New Roman"/>
        </w:rPr>
        <w:t xml:space="preserve"> is an instance of the kind of “remedy” to skepticism provided by “carelessness and in-attention” (</w:t>
      </w:r>
      <w:r w:rsidRPr="00F31292">
        <w:rPr>
          <w:rFonts w:ascii="Times New Roman" w:hAnsi="Times New Roman" w:cs="Times New Roman"/>
          <w:i/>
          <w:iCs/>
        </w:rPr>
        <w:t>T</w:t>
      </w:r>
      <w:r w:rsidRPr="00F31292">
        <w:rPr>
          <w:rFonts w:ascii="Times New Roman" w:hAnsi="Times New Roman" w:cs="Times New Roman"/>
        </w:rPr>
        <w:t xml:space="preserve"> 1.4.2.57).</w:t>
      </w:r>
      <w:r w:rsidRPr="00F31292">
        <w:rPr>
          <w:rStyle w:val="FootnoteReference"/>
          <w:rFonts w:ascii="Times New Roman" w:hAnsi="Times New Roman" w:cs="Times New Roman"/>
        </w:rPr>
        <w:footnoteReference w:id="49"/>
      </w:r>
      <w:r w:rsidRPr="00F31292">
        <w:rPr>
          <w:rFonts w:ascii="Times New Roman" w:hAnsi="Times New Roman" w:cs="Times New Roman"/>
        </w:rPr>
        <w:t xml:space="preserve"> </w:t>
      </w:r>
    </w:p>
    <w:p w14:paraId="79A58F26" w14:textId="65D67E84" w:rsidR="00F959A0" w:rsidRPr="00681C21" w:rsidRDefault="00F959A0" w:rsidP="00F959A0">
      <w:pPr>
        <w:pStyle w:val="Heading1"/>
        <w:spacing w:before="240" w:after="240" w:line="480" w:lineRule="auto"/>
        <w:ind w:firstLine="720"/>
        <w:jc w:val="both"/>
        <w:rPr>
          <w:rFonts w:ascii="Times New Roman" w:hAnsi="Times New Roman" w:cs="Times New Roman"/>
          <w:b w:val="0"/>
          <w:bCs w:val="0"/>
          <w:color w:val="000000" w:themeColor="text1"/>
          <w:sz w:val="24"/>
          <w:szCs w:val="24"/>
        </w:rPr>
      </w:pPr>
      <w:r w:rsidRPr="00681C21">
        <w:rPr>
          <w:rFonts w:ascii="Times New Roman" w:hAnsi="Times New Roman" w:cs="Times New Roman"/>
          <w:b w:val="0"/>
          <w:bCs w:val="0"/>
          <w:color w:val="000000" w:themeColor="text1"/>
          <w:sz w:val="24"/>
          <w:szCs w:val="24"/>
        </w:rPr>
        <w:t xml:space="preserve">5. The Skeptical Argument in the First </w:t>
      </w:r>
      <w:r w:rsidRPr="00681C21">
        <w:rPr>
          <w:rFonts w:ascii="Times New Roman" w:hAnsi="Times New Roman" w:cs="Times New Roman"/>
          <w:b w:val="0"/>
          <w:bCs w:val="0"/>
          <w:i/>
          <w:iCs/>
          <w:color w:val="000000" w:themeColor="text1"/>
          <w:sz w:val="24"/>
          <w:szCs w:val="24"/>
        </w:rPr>
        <w:t>Enquiry</w:t>
      </w:r>
    </w:p>
    <w:p w14:paraId="5DCBAC44" w14:textId="108B194A" w:rsidR="00F959A0" w:rsidRPr="00F31292" w:rsidRDefault="00F959A0" w:rsidP="00F959A0">
      <w:pPr>
        <w:pStyle w:val="BodyText"/>
        <w:spacing w:before="0" w:after="0" w:line="480" w:lineRule="auto"/>
        <w:jc w:val="both"/>
        <w:rPr>
          <w:rFonts w:ascii="Times New Roman" w:hAnsi="Times New Roman" w:cs="Times New Roman"/>
          <w:i/>
          <w:iCs/>
        </w:rPr>
      </w:pPr>
      <w:r w:rsidRPr="00F31292">
        <w:rPr>
          <w:rFonts w:ascii="Times New Roman" w:hAnsi="Times New Roman" w:cs="Times New Roman"/>
        </w:rPr>
        <w:t xml:space="preserve">Part 1 of section 12 of the first </w:t>
      </w:r>
      <w:r w:rsidRPr="00F31292">
        <w:rPr>
          <w:rFonts w:ascii="Times New Roman" w:hAnsi="Times New Roman" w:cs="Times New Roman"/>
          <w:i/>
          <w:iCs/>
        </w:rPr>
        <w:t>Enquiry</w:t>
      </w:r>
      <w:r w:rsidRPr="00F31292">
        <w:rPr>
          <w:rFonts w:ascii="Times New Roman" w:hAnsi="Times New Roman" w:cs="Times New Roman"/>
        </w:rPr>
        <w:t xml:space="preserve"> surveys skeptical arguments “against the evidence of </w:t>
      </w:r>
      <w:r w:rsidRPr="00F31292">
        <w:rPr>
          <w:rFonts w:ascii="Times New Roman" w:hAnsi="Times New Roman" w:cs="Times New Roman"/>
          <w:i/>
          <w:iCs/>
        </w:rPr>
        <w:t>sense</w:t>
      </w:r>
      <w:r w:rsidRPr="00F31292">
        <w:rPr>
          <w:rFonts w:ascii="Times New Roman" w:hAnsi="Times New Roman" w:cs="Times New Roman"/>
        </w:rPr>
        <w:t>” (</w:t>
      </w:r>
      <w:r w:rsidRPr="00F31292">
        <w:rPr>
          <w:rFonts w:ascii="Times New Roman" w:hAnsi="Times New Roman" w:cs="Times New Roman"/>
          <w:i/>
          <w:iCs/>
        </w:rPr>
        <w:t>EU</w:t>
      </w:r>
      <w:r w:rsidRPr="00F31292">
        <w:rPr>
          <w:rFonts w:ascii="Times New Roman" w:hAnsi="Times New Roman" w:cs="Times New Roman"/>
        </w:rPr>
        <w:t xml:space="preserve"> 12.6). Hume’s survey includes two “philosophical” objections to the senses, the second of which, like MP’s skeptical argument, arises from the primary/secondary distinction. MP’s skeptical argument and the </w:t>
      </w:r>
      <w:r w:rsidRPr="00F31292">
        <w:rPr>
          <w:rFonts w:ascii="Times New Roman" w:hAnsi="Times New Roman" w:cs="Times New Roman"/>
          <w:i/>
          <w:iCs/>
        </w:rPr>
        <w:t>Enquiry</w:t>
      </w:r>
      <w:r w:rsidRPr="00F31292">
        <w:rPr>
          <w:rFonts w:ascii="Times New Roman" w:hAnsi="Times New Roman" w:cs="Times New Roman"/>
        </w:rPr>
        <w:t xml:space="preserve">’s second objection (“the </w:t>
      </w:r>
      <w:r w:rsidRPr="00F31292">
        <w:rPr>
          <w:rFonts w:ascii="Times New Roman" w:hAnsi="Times New Roman" w:cs="Times New Roman"/>
          <w:i/>
          <w:iCs/>
        </w:rPr>
        <w:t>Enquiry</w:t>
      </w:r>
      <w:r w:rsidRPr="00F31292">
        <w:rPr>
          <w:rFonts w:ascii="Times New Roman" w:hAnsi="Times New Roman" w:cs="Times New Roman"/>
        </w:rPr>
        <w:t xml:space="preserve"> argument”) are often taken to be presentations of one and the same argument.</w:t>
      </w:r>
      <w:r w:rsidRPr="00F31292">
        <w:rPr>
          <w:rStyle w:val="FootnoteReference"/>
          <w:rFonts w:ascii="Times New Roman" w:hAnsi="Times New Roman" w:cs="Times New Roman"/>
        </w:rPr>
        <w:footnoteReference w:id="50"/>
      </w:r>
      <w:r w:rsidRPr="00F31292">
        <w:rPr>
          <w:rFonts w:ascii="Times New Roman" w:hAnsi="Times New Roman" w:cs="Times New Roman"/>
        </w:rPr>
        <w:t xml:space="preserve"> My account of the former implies that its premises and intended conclusion differ from those of the latter. Hume presents the </w:t>
      </w:r>
      <w:r w:rsidRPr="00F31292">
        <w:rPr>
          <w:rFonts w:ascii="Times New Roman" w:hAnsi="Times New Roman" w:cs="Times New Roman"/>
          <w:i/>
          <w:iCs/>
        </w:rPr>
        <w:t xml:space="preserve">Enquiry </w:t>
      </w:r>
      <w:r w:rsidRPr="00F31292">
        <w:rPr>
          <w:rFonts w:ascii="Times New Roman" w:hAnsi="Times New Roman" w:cs="Times New Roman"/>
        </w:rPr>
        <w:t>argument as follows:</w:t>
      </w:r>
    </w:p>
    <w:p w14:paraId="732F4363" w14:textId="4167AEEA" w:rsidR="00F959A0" w:rsidRPr="00F31292" w:rsidRDefault="00F959A0" w:rsidP="00F959A0">
      <w:pPr>
        <w:pStyle w:val="BlockText"/>
        <w:spacing w:before="240" w:after="480" w:line="480" w:lineRule="auto"/>
        <w:ind w:left="720" w:right="0"/>
        <w:jc w:val="both"/>
        <w:rPr>
          <w:rFonts w:ascii="Times New Roman" w:hAnsi="Times New Roman" w:cs="Times New Roman"/>
        </w:rPr>
      </w:pPr>
      <w:r w:rsidRPr="00F31292">
        <w:rPr>
          <w:rFonts w:ascii="Times New Roman" w:hAnsi="Times New Roman" w:cs="Times New Roman"/>
        </w:rPr>
        <w:t xml:space="preserve">It is universally allowed by modern enquirers, that all the sensible qualities of objects, such as hard, soft, hot, cold, white, black, </w:t>
      </w:r>
      <w:r w:rsidRPr="00F31292">
        <w:rPr>
          <w:rFonts w:ascii="Times New Roman" w:hAnsi="Times New Roman" w:cs="Times New Roman"/>
          <w:i/>
          <w:iCs/>
        </w:rPr>
        <w:t>&amp;c</w:t>
      </w:r>
      <w:r w:rsidRPr="00F31292">
        <w:rPr>
          <w:rFonts w:ascii="Times New Roman" w:hAnsi="Times New Roman" w:cs="Times New Roman"/>
        </w:rPr>
        <w:t xml:space="preserve">. are merely secondary, and exist not in the objects themselves, but are perceptions of the mind, without any external archetype or model, which they represent. If this be allowed, with regard to secondary qualities, it must also follow, with regard to the supposed primary qualities of extension and solidity; nor can the latter be any more entitled to that denomination than the former. The idea of extension is entirely acquired from the senses of sight and feeling; and if all the qualities, perceived by the senses, be in the mind, not in the object, the same conclusion must reach the idea of </w:t>
      </w:r>
      <w:r w:rsidRPr="00F31292">
        <w:rPr>
          <w:rFonts w:ascii="Times New Roman" w:hAnsi="Times New Roman" w:cs="Times New Roman"/>
        </w:rPr>
        <w:lastRenderedPageBreak/>
        <w:t>extension, which is wholly dependent on the sensible ideas or the ideas of secondary qualities. (</w:t>
      </w:r>
      <w:r w:rsidRPr="00F31292">
        <w:rPr>
          <w:rFonts w:ascii="Times New Roman" w:hAnsi="Times New Roman" w:cs="Times New Roman"/>
          <w:i/>
          <w:iCs/>
        </w:rPr>
        <w:t>EU</w:t>
      </w:r>
      <w:r w:rsidRPr="00F31292">
        <w:rPr>
          <w:rFonts w:ascii="Times New Roman" w:hAnsi="Times New Roman" w:cs="Times New Roman"/>
        </w:rPr>
        <w:t xml:space="preserve"> 12.15)</w:t>
      </w:r>
    </w:p>
    <w:p w14:paraId="5460EA2E" w14:textId="23A64E4E" w:rsidR="00F959A0" w:rsidRDefault="00F959A0" w:rsidP="00F959A0">
      <w:pPr>
        <w:pStyle w:val="BodyText"/>
        <w:spacing w:after="0" w:line="480" w:lineRule="auto"/>
        <w:jc w:val="both"/>
        <w:rPr>
          <w:rFonts w:ascii="Times New Roman" w:hAnsi="Times New Roman" w:cs="Times New Roman"/>
        </w:rPr>
      </w:pPr>
      <w:r w:rsidRPr="00F31292">
        <w:rPr>
          <w:rFonts w:ascii="Times New Roman" w:hAnsi="Times New Roman" w:cs="Times New Roman"/>
        </w:rPr>
        <w:t xml:space="preserve">All “modern enquirers” allow that sensible or secondary qualities are perceptions that do not resemble anything in bodies. Hume argues that they are thereby committed to a triad: </w:t>
      </w:r>
    </w:p>
    <w:p w14:paraId="66C53EEB" w14:textId="5D83FEE6" w:rsidR="00F959A0" w:rsidRDefault="00F959A0" w:rsidP="00F959A0">
      <w:pPr>
        <w:pStyle w:val="BodyText"/>
        <w:spacing w:after="0" w:line="480" w:lineRule="auto"/>
        <w:ind w:left="720"/>
        <w:jc w:val="both"/>
        <w:rPr>
          <w:rFonts w:ascii="Times New Roman" w:hAnsi="Times New Roman" w:cs="Times New Roman"/>
        </w:rPr>
      </w:pPr>
      <w:r>
        <w:rPr>
          <w:rFonts w:ascii="Times New Roman" w:hAnsi="Times New Roman" w:cs="Times New Roman"/>
        </w:rPr>
        <w:t xml:space="preserve">(1) </w:t>
      </w:r>
      <w:r w:rsidRPr="00F31292">
        <w:rPr>
          <w:rFonts w:ascii="Times New Roman" w:hAnsi="Times New Roman" w:cs="Times New Roman"/>
        </w:rPr>
        <w:t>The idea of extension is “wholly dependent” on ideas of secondary qualities.</w:t>
      </w:r>
    </w:p>
    <w:p w14:paraId="63DF3F53" w14:textId="3D25D214" w:rsidR="00F959A0" w:rsidRDefault="00F959A0" w:rsidP="00F959A0">
      <w:pPr>
        <w:pStyle w:val="BodyText"/>
        <w:spacing w:after="0" w:line="480" w:lineRule="auto"/>
        <w:ind w:left="720"/>
        <w:jc w:val="both"/>
        <w:rPr>
          <w:rFonts w:ascii="Times New Roman" w:hAnsi="Times New Roman" w:cs="Times New Roman"/>
        </w:rPr>
      </w:pPr>
      <w:r>
        <w:rPr>
          <w:rFonts w:ascii="Times New Roman" w:hAnsi="Times New Roman" w:cs="Times New Roman"/>
        </w:rPr>
        <w:t xml:space="preserve">(2) </w:t>
      </w:r>
      <w:r w:rsidRPr="00F31292">
        <w:rPr>
          <w:rFonts w:ascii="Times New Roman" w:hAnsi="Times New Roman" w:cs="Times New Roman"/>
        </w:rPr>
        <w:t>If the idea of extension is wholly dependent on the ideas of secondary qualities, then one cannot conceive of extension separately from secondary qualities.</w:t>
      </w:r>
    </w:p>
    <w:p w14:paraId="5EA6140E" w14:textId="77777777" w:rsidR="00F959A0" w:rsidRDefault="00F959A0" w:rsidP="00F959A0">
      <w:pPr>
        <w:pStyle w:val="BodyText"/>
        <w:spacing w:after="0" w:line="480" w:lineRule="auto"/>
        <w:ind w:left="720"/>
        <w:jc w:val="both"/>
        <w:rPr>
          <w:rFonts w:ascii="Times New Roman" w:hAnsi="Times New Roman" w:cs="Times New Roman"/>
        </w:rPr>
      </w:pPr>
      <w:r>
        <w:rPr>
          <w:rFonts w:ascii="Times New Roman" w:hAnsi="Times New Roman" w:cs="Times New Roman"/>
        </w:rPr>
        <w:t xml:space="preserve">(3) </w:t>
      </w:r>
      <w:r w:rsidRPr="00F31292">
        <w:rPr>
          <w:rFonts w:ascii="Times New Roman" w:hAnsi="Times New Roman" w:cs="Times New Roman"/>
        </w:rPr>
        <w:t>Ideas of secondary qualities are excluded from the idea of body.</w:t>
      </w:r>
    </w:p>
    <w:p w14:paraId="55A80AD6" w14:textId="43FD11F1" w:rsidR="00F959A0" w:rsidRPr="00F31292" w:rsidRDefault="00F959A0" w:rsidP="00F959A0">
      <w:pPr>
        <w:pStyle w:val="BodyText"/>
        <w:spacing w:after="0" w:line="480" w:lineRule="auto"/>
        <w:jc w:val="both"/>
        <w:rPr>
          <w:rFonts w:ascii="Times New Roman" w:hAnsi="Times New Roman" w:cs="Times New Roman"/>
        </w:rPr>
      </w:pPr>
      <w:r w:rsidRPr="00F31292">
        <w:rPr>
          <w:rFonts w:ascii="Times New Roman" w:hAnsi="Times New Roman" w:cs="Times New Roman"/>
        </w:rPr>
        <w:t xml:space="preserve">Hume argues for (1) on the basis of the source of the idea of extension. Because that idea is </w:t>
      </w:r>
      <w:r w:rsidRPr="00F31292">
        <w:rPr>
          <w:rFonts w:ascii="Times New Roman" w:hAnsi="Times New Roman" w:cs="Times New Roman"/>
        </w:rPr>
        <w:br/>
        <w:t>“entirely acquired” from the senses of sight and feeling, it depends on the other qualities perceived by that sense: the secondary qualities of hardness and color. (2) follows from the dependence of the idea of extension on ideas of secondary qualities: “An extension, that is neither tangible nor visible, cannot possibly be conceived: And a tangible or visible extension, which is neither hard nor soft, black nor white, is equally beyond the reach of human conception” (</w:t>
      </w:r>
      <w:r w:rsidRPr="00F31292">
        <w:rPr>
          <w:rFonts w:ascii="Times New Roman" w:hAnsi="Times New Roman" w:cs="Times New Roman"/>
          <w:i/>
          <w:iCs/>
        </w:rPr>
        <w:t>EU</w:t>
      </w:r>
      <w:r w:rsidRPr="00F31292">
        <w:rPr>
          <w:rFonts w:ascii="Times New Roman" w:hAnsi="Times New Roman" w:cs="Times New Roman"/>
        </w:rPr>
        <w:t xml:space="preserve"> 12.15). (3) expresses the modern philosophy’s negative commitment.  (1), (2), and (3) jointly imply that the conception of body does not include any “intelligible qualities.” Thus, (1), (2), and (3) imply that body, when we conceive of it as the modern philosophy requires, is an “unknown, inexplicable </w:t>
      </w:r>
      <w:r w:rsidRPr="00F31292">
        <w:rPr>
          <w:rFonts w:ascii="Times New Roman" w:hAnsi="Times New Roman" w:cs="Times New Roman"/>
          <w:i/>
          <w:iCs/>
        </w:rPr>
        <w:t>something</w:t>
      </w:r>
      <w:r w:rsidRPr="00F31292">
        <w:rPr>
          <w:rFonts w:ascii="Times New Roman" w:hAnsi="Times New Roman" w:cs="Times New Roman"/>
        </w:rPr>
        <w:t>” (</w:t>
      </w:r>
      <w:r w:rsidRPr="00F31292">
        <w:rPr>
          <w:rFonts w:ascii="Times New Roman" w:hAnsi="Times New Roman" w:cs="Times New Roman"/>
          <w:i/>
          <w:iCs/>
        </w:rPr>
        <w:t>EU</w:t>
      </w:r>
      <w:r w:rsidRPr="00F31292">
        <w:rPr>
          <w:rFonts w:ascii="Times New Roman" w:hAnsi="Times New Roman" w:cs="Times New Roman"/>
        </w:rPr>
        <w:t xml:space="preserve"> 12.16). </w:t>
      </w:r>
    </w:p>
    <w:p w14:paraId="32476502" w14:textId="10C1BE35"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The triad for which the </w:t>
      </w:r>
      <w:r w:rsidRPr="00F31292">
        <w:rPr>
          <w:rFonts w:ascii="Times New Roman" w:hAnsi="Times New Roman" w:cs="Times New Roman"/>
          <w:i/>
          <w:iCs/>
        </w:rPr>
        <w:t>Enquiry</w:t>
      </w:r>
      <w:r w:rsidRPr="00F31292">
        <w:rPr>
          <w:rFonts w:ascii="Times New Roman" w:hAnsi="Times New Roman" w:cs="Times New Roman"/>
        </w:rPr>
        <w:t xml:space="preserve"> argument argues differs from that for which MP’s skeptical argument argues. Both arguments appeal to relations of dependence. But whereas MP’s argument considers dependence relations that obtain between ideas of primary qualities, the </w:t>
      </w:r>
      <w:r w:rsidRPr="00F31292">
        <w:rPr>
          <w:rFonts w:ascii="Times New Roman" w:hAnsi="Times New Roman" w:cs="Times New Roman"/>
          <w:i/>
          <w:iCs/>
        </w:rPr>
        <w:t>Enquiry</w:t>
      </w:r>
      <w:r w:rsidRPr="00F31292">
        <w:rPr>
          <w:rFonts w:ascii="Times New Roman" w:hAnsi="Times New Roman" w:cs="Times New Roman"/>
        </w:rPr>
        <w:t xml:space="preserve"> </w:t>
      </w:r>
      <w:r w:rsidRPr="00F31292">
        <w:rPr>
          <w:rFonts w:ascii="Times New Roman" w:hAnsi="Times New Roman" w:cs="Times New Roman"/>
        </w:rPr>
        <w:lastRenderedPageBreak/>
        <w:t>considers dependence relations that obtain between ideas of primary qualities and ideas of secondary qualities.</w:t>
      </w:r>
      <w:r w:rsidRPr="00F31292">
        <w:rPr>
          <w:rStyle w:val="FootnoteReference"/>
          <w:rFonts w:ascii="Times New Roman" w:hAnsi="Times New Roman" w:cs="Times New Roman"/>
        </w:rPr>
        <w:footnoteReference w:id="51"/>
      </w:r>
      <w:r w:rsidRPr="00F31292">
        <w:rPr>
          <w:rFonts w:ascii="Times New Roman" w:hAnsi="Times New Roman" w:cs="Times New Roman"/>
        </w:rPr>
        <w:t xml:space="preserve"> </w:t>
      </w:r>
      <w:bookmarkStart w:id="3" w:name="mps-destructive-phase"/>
      <w:r w:rsidRPr="00F31292">
        <w:rPr>
          <w:rFonts w:ascii="Times New Roman" w:hAnsi="Times New Roman" w:cs="Times New Roman"/>
        </w:rPr>
        <w:t>Moreover, MP’s skeptical argument establishes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r>
          <w:rPr>
            <w:rFonts w:ascii="Cambria Math" w:hAnsi="Cambria Math" w:cs="Times New Roman"/>
          </w:rPr>
          <m:t xml:space="preserve"> </m:t>
        </m:r>
      </m:oMath>
      <w:r w:rsidRPr="00F31292">
        <w:rPr>
          <w:rFonts w:ascii="Times New Roman" w:hAnsi="Times New Roman" w:cs="Times New Roman"/>
        </w:rPr>
        <w:t xml:space="preserve">involves conceptual dependence relations that violate asymmetry. The </w:t>
      </w:r>
      <w:r w:rsidRPr="00F31292">
        <w:rPr>
          <w:rFonts w:ascii="Times New Roman" w:hAnsi="Times New Roman" w:cs="Times New Roman"/>
          <w:i/>
          <w:iCs/>
        </w:rPr>
        <w:t>Enquiry</w:t>
      </w:r>
      <w:r w:rsidRPr="00F31292">
        <w:rPr>
          <w:rFonts w:ascii="Times New Roman" w:hAnsi="Times New Roman" w:cs="Times New Roman"/>
        </w:rPr>
        <w:t xml:space="preserve"> argument does not appeal to the claim that conceptual dependence is necessarily asymmetric. This difference implies another. MP’s argument maintains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oMath>
      <w:r w:rsidRPr="00F31292">
        <w:rPr>
          <w:rFonts w:ascii="Times New Roman" w:eastAsiaTheme="minorEastAsia" w:hAnsi="Times New Roman" w:cs="Times New Roman"/>
        </w:rPr>
        <w:t xml:space="preserve"> </w:t>
      </w:r>
      <w:r w:rsidRPr="00F31292">
        <w:rPr>
          <w:rFonts w:ascii="Times New Roman" w:hAnsi="Times New Roman" w:cs="Times New Roman"/>
        </w:rPr>
        <w:t xml:space="preserve">is not “just and consistent” and contains “contradictions.” The </w:t>
      </w:r>
      <w:r w:rsidRPr="00F31292">
        <w:rPr>
          <w:rFonts w:ascii="Times New Roman" w:hAnsi="Times New Roman" w:cs="Times New Roman"/>
          <w:i/>
          <w:iCs/>
        </w:rPr>
        <w:t>Enquiry</w:t>
      </w:r>
      <w:r w:rsidRPr="00F31292">
        <w:rPr>
          <w:rFonts w:ascii="Times New Roman" w:hAnsi="Times New Roman" w:cs="Times New Roman"/>
        </w:rPr>
        <w:t xml:space="preserve"> argument does not aim to show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r>
          <w:rPr>
            <w:rFonts w:ascii="Cambria Math" w:hAnsi="Cambria Math" w:cs="Times New Roman"/>
          </w:rPr>
          <m:t xml:space="preserve"> </m:t>
        </m:r>
      </m:oMath>
      <w:r w:rsidRPr="00F31292">
        <w:rPr>
          <w:rFonts w:ascii="Times New Roman" w:hAnsi="Times New Roman" w:cs="Times New Roman"/>
        </w:rPr>
        <w:t>exhibits incoherence. The argument aims to establish that the idea of body</w:t>
      </w:r>
      <m:oMath>
        <m:sSub>
          <m:sSubPr>
            <m:ctrlPr>
              <w:rPr>
                <w:rFonts w:ascii="Cambria Math" w:hAnsi="Cambria Math" w:cs="Times New Roman"/>
              </w:rPr>
            </m:ctrlPr>
          </m:sSubPr>
          <m:e>
            <m:r>
              <w:rPr>
                <w:rFonts w:ascii="Cambria Math" w:hAnsi="Cambria Math" w:cs="Times New Roman"/>
              </w:rPr>
              <m:t>​</m:t>
            </m:r>
          </m:e>
          <m:sub>
            <m:r>
              <w:rPr>
                <w:rFonts w:ascii="Cambria Math" w:hAnsi="Cambria Math" w:cs="Times New Roman"/>
              </w:rPr>
              <m:t>mp</m:t>
            </m:r>
          </m:sub>
        </m:sSub>
        <m:r>
          <w:rPr>
            <w:rFonts w:ascii="Cambria Math" w:hAnsi="Cambria Math" w:cs="Times New Roman"/>
          </w:rPr>
          <m:t xml:space="preserve"> </m:t>
        </m:r>
      </m:oMath>
      <w:r w:rsidRPr="00F31292">
        <w:rPr>
          <w:rFonts w:ascii="Times New Roman" w:hAnsi="Times New Roman" w:cs="Times New Roman"/>
        </w:rPr>
        <w:t>exhibits a different, incompatible conceptual defect: the idea of body is rendered empty by the negative commitment, devoid of ideas of “intelligible qualities.”</w:t>
      </w:r>
    </w:p>
    <w:p w14:paraId="3E6EBD50" w14:textId="7BD529AA" w:rsidR="00F959A0" w:rsidRPr="00F31292" w:rsidRDefault="00F959A0" w:rsidP="00F959A0">
      <w:pPr>
        <w:pStyle w:val="BodyText"/>
        <w:spacing w:before="0" w:after="0" w:line="480" w:lineRule="auto"/>
        <w:ind w:firstLine="720"/>
        <w:jc w:val="both"/>
        <w:rPr>
          <w:rFonts w:ascii="Times New Roman" w:hAnsi="Times New Roman" w:cs="Times New Roman"/>
        </w:rPr>
      </w:pPr>
      <w:r w:rsidRPr="00F31292">
        <w:rPr>
          <w:rFonts w:ascii="Times New Roman" w:hAnsi="Times New Roman" w:cs="Times New Roman"/>
        </w:rPr>
        <w:t xml:space="preserve">In a footnote to the </w:t>
      </w:r>
      <w:r w:rsidRPr="00F31292">
        <w:rPr>
          <w:rFonts w:ascii="Times New Roman" w:hAnsi="Times New Roman" w:cs="Times New Roman"/>
          <w:i/>
          <w:iCs/>
        </w:rPr>
        <w:t>Enquiry</w:t>
      </w:r>
      <w:r w:rsidRPr="00F31292">
        <w:rPr>
          <w:rFonts w:ascii="Times New Roman" w:hAnsi="Times New Roman" w:cs="Times New Roman"/>
        </w:rPr>
        <w:t xml:space="preserve"> argument, Hume claims that the argument “is drawn from DR. BERKLEY; and indeed most of the writings of that very ingenious author form the best lessons of scepticism, which are to be found either among the ancient or modern philosophers, BAYLE not excepted” (</w:t>
      </w:r>
      <w:r w:rsidRPr="00F31292">
        <w:rPr>
          <w:rFonts w:ascii="Times New Roman" w:hAnsi="Times New Roman" w:cs="Times New Roman"/>
          <w:i/>
          <w:iCs/>
        </w:rPr>
        <w:t>EU</w:t>
      </w:r>
      <w:r w:rsidRPr="00F31292">
        <w:rPr>
          <w:rFonts w:ascii="Times New Roman" w:hAnsi="Times New Roman" w:cs="Times New Roman"/>
        </w:rPr>
        <w:t xml:space="preserve"> 12.15). By contrast, Berkeley is not mentioned or alluded to in MP. The differences between the arguments explain Hume’s acknowledging Berkeley in the </w:t>
      </w:r>
      <w:r w:rsidRPr="00F31292">
        <w:rPr>
          <w:rFonts w:ascii="Times New Roman" w:hAnsi="Times New Roman" w:cs="Times New Roman"/>
          <w:i/>
          <w:iCs/>
        </w:rPr>
        <w:t>Enquiry</w:t>
      </w:r>
      <w:r w:rsidRPr="00F31292">
        <w:rPr>
          <w:rFonts w:ascii="Times New Roman" w:hAnsi="Times New Roman" w:cs="Times New Roman"/>
        </w:rPr>
        <w:t xml:space="preserve"> but not in MP. The </w:t>
      </w:r>
      <w:r w:rsidRPr="00F31292">
        <w:rPr>
          <w:rFonts w:ascii="Times New Roman" w:hAnsi="Times New Roman" w:cs="Times New Roman"/>
          <w:i/>
          <w:iCs/>
        </w:rPr>
        <w:t>Enquiry</w:t>
      </w:r>
      <w:r w:rsidRPr="00F31292">
        <w:rPr>
          <w:rFonts w:ascii="Times New Roman" w:hAnsi="Times New Roman" w:cs="Times New Roman"/>
        </w:rPr>
        <w:t xml:space="preserve"> argument is effectively the same as the argument from Berkeley’s </w:t>
      </w:r>
      <w:r w:rsidRPr="00F31292">
        <w:rPr>
          <w:rFonts w:ascii="Times New Roman" w:hAnsi="Times New Roman" w:cs="Times New Roman"/>
          <w:i/>
          <w:iCs/>
        </w:rPr>
        <w:t>Dialogues</w:t>
      </w:r>
      <w:r w:rsidRPr="00F31292">
        <w:rPr>
          <w:rFonts w:ascii="Times New Roman" w:hAnsi="Times New Roman" w:cs="Times New Roman"/>
        </w:rPr>
        <w:t xml:space="preserve"> considered above. In the latter, Philonous issues a challenge to Hylas––“Can you even separate the ideas of extension and motion from the ideas of all those qualities, which they who make the distinction term ‘secondary</w:t>
      </w:r>
      <w:r>
        <w:rPr>
          <w:rFonts w:ascii="Times New Roman" w:hAnsi="Times New Roman" w:cs="Times New Roman"/>
        </w:rPr>
        <w:t>’</w:t>
      </w:r>
      <w:r w:rsidRPr="00F31292">
        <w:rPr>
          <w:rFonts w:ascii="Times New Roman" w:hAnsi="Times New Roman" w:cs="Times New Roman"/>
        </w:rPr>
        <w:t>”––and argues that the challenge cannot be met (</w:t>
      </w:r>
      <w:r w:rsidRPr="00F31292">
        <w:rPr>
          <w:rFonts w:ascii="Times New Roman" w:hAnsi="Times New Roman" w:cs="Times New Roman"/>
          <w:i/>
          <w:iCs/>
        </w:rPr>
        <w:t>DHP</w:t>
      </w:r>
      <w:r w:rsidRPr="00F31292">
        <w:rPr>
          <w:rFonts w:ascii="Times New Roman" w:hAnsi="Times New Roman" w:cs="Times New Roman"/>
        </w:rPr>
        <w:t xml:space="preserve"> 193). That primary qualities cannot be separated in thought from secondary qualities is the central premise of </w:t>
      </w:r>
      <w:r w:rsidRPr="00F31292">
        <w:rPr>
          <w:rFonts w:ascii="Times New Roman" w:hAnsi="Times New Roman" w:cs="Times New Roman"/>
        </w:rPr>
        <w:lastRenderedPageBreak/>
        <w:t xml:space="preserve">the </w:t>
      </w:r>
      <w:r w:rsidRPr="00F31292">
        <w:rPr>
          <w:rFonts w:ascii="Times New Roman" w:hAnsi="Times New Roman" w:cs="Times New Roman"/>
          <w:i/>
          <w:iCs/>
        </w:rPr>
        <w:t>Enquiry</w:t>
      </w:r>
      <w:r w:rsidRPr="00F31292">
        <w:rPr>
          <w:rFonts w:ascii="Times New Roman" w:hAnsi="Times New Roman" w:cs="Times New Roman"/>
        </w:rPr>
        <w:t xml:space="preserve"> argument but not of MP’s skeptical argument. Hume’s not acknowledging Berkeley in MP is explained by the fact that the section’s argument, unlike the </w:t>
      </w:r>
      <w:r w:rsidRPr="00F31292">
        <w:rPr>
          <w:rFonts w:ascii="Times New Roman" w:hAnsi="Times New Roman" w:cs="Times New Roman"/>
          <w:i/>
          <w:iCs/>
        </w:rPr>
        <w:t>Enquiry</w:t>
      </w:r>
      <w:r w:rsidRPr="00F31292">
        <w:rPr>
          <w:rFonts w:ascii="Times New Roman" w:hAnsi="Times New Roman" w:cs="Times New Roman"/>
        </w:rPr>
        <w:t xml:space="preserve"> argument, is not “drawn” from Berkeley. </w:t>
      </w:r>
    </w:p>
    <w:p w14:paraId="65F8754A" w14:textId="7FCB173F" w:rsidR="00F959A0" w:rsidRPr="00F959A0" w:rsidRDefault="00F959A0" w:rsidP="00F959A0">
      <w:pPr>
        <w:pStyle w:val="Heading1"/>
        <w:spacing w:before="240" w:after="120" w:line="480" w:lineRule="auto"/>
        <w:jc w:val="both"/>
        <w:rPr>
          <w:rFonts w:ascii="Times New Roman" w:hAnsi="Times New Roman" w:cs="Times New Roman"/>
          <w:color w:val="000000" w:themeColor="text1"/>
          <w:sz w:val="24"/>
          <w:szCs w:val="24"/>
        </w:rPr>
      </w:pPr>
      <w:bookmarkStart w:id="4" w:name="conclusion"/>
      <w:bookmarkEnd w:id="3"/>
      <w:r w:rsidRPr="00F959A0">
        <w:rPr>
          <w:rFonts w:ascii="Times New Roman" w:hAnsi="Times New Roman" w:cs="Times New Roman"/>
          <w:color w:val="000000" w:themeColor="text1"/>
          <w:sz w:val="24"/>
          <w:szCs w:val="24"/>
        </w:rPr>
        <w:t>6. Conclusion</w:t>
      </w:r>
    </w:p>
    <w:p w14:paraId="124F2EB3" w14:textId="506B5E28" w:rsidR="00F959A0" w:rsidRPr="00F31292" w:rsidRDefault="00F959A0" w:rsidP="00F959A0">
      <w:pPr>
        <w:pStyle w:val="FirstParagraph"/>
        <w:spacing w:before="0" w:after="0" w:line="480" w:lineRule="auto"/>
        <w:jc w:val="both"/>
        <w:rPr>
          <w:rFonts w:ascii="Times New Roman" w:hAnsi="Times New Roman" w:cs="Times New Roman"/>
        </w:rPr>
      </w:pPr>
      <w:r w:rsidRPr="00F31292">
        <w:rPr>
          <w:rFonts w:ascii="Times New Roman" w:hAnsi="Times New Roman" w:cs="Times New Roman"/>
        </w:rPr>
        <w:t xml:space="preserve">MP does not merely aim to undermine the particular account of body associated with the modern philosophy. Rather, the section aims to demonstrate the deeply rooted inadequacy of our cognition of external bodies. Any conception of body is either false, attributing secondary qualities to bodies that it does not have, or includes incoherent relations of conceptual dependence. The skeptical force of the section is not avoided by means of rejecting the </w:t>
      </w:r>
      <w:r>
        <w:rPr>
          <w:rFonts w:ascii="Times New Roman" w:hAnsi="Times New Roman" w:cs="Times New Roman"/>
        </w:rPr>
        <w:t xml:space="preserve">modern philosophy’s </w:t>
      </w:r>
      <w:r w:rsidRPr="00F31292">
        <w:rPr>
          <w:rFonts w:ascii="Times New Roman" w:hAnsi="Times New Roman" w:cs="Times New Roman"/>
        </w:rPr>
        <w:t>core commitments</w:t>
      </w:r>
      <w:r>
        <w:rPr>
          <w:rFonts w:ascii="Times New Roman" w:hAnsi="Times New Roman" w:cs="Times New Roman"/>
        </w:rPr>
        <w:t xml:space="preserve">. </w:t>
      </w:r>
      <w:r w:rsidRPr="00F31292">
        <w:rPr>
          <w:rFonts w:ascii="Times New Roman" w:hAnsi="Times New Roman" w:cs="Times New Roman"/>
        </w:rPr>
        <w:t xml:space="preserve">While the argument has negative implications for the epistemic merit of the belief in body, it is, in the first place, one of the </w:t>
      </w:r>
      <w:r w:rsidRPr="00F31292">
        <w:rPr>
          <w:rFonts w:ascii="Times New Roman" w:hAnsi="Times New Roman" w:cs="Times New Roman"/>
          <w:i/>
          <w:iCs/>
        </w:rPr>
        <w:t>Treatise</w:t>
      </w:r>
      <w:r w:rsidRPr="00F31292">
        <w:rPr>
          <w:rFonts w:ascii="Times New Roman" w:hAnsi="Times New Roman" w:cs="Times New Roman"/>
        </w:rPr>
        <w:t>’s inquiries into the nature of our ideas, the outcome of which is undermining rather than vindicating.</w:t>
      </w:r>
      <w:bookmarkEnd w:id="4"/>
      <w:r w:rsidRPr="00F31292">
        <w:rPr>
          <w:rStyle w:val="FootnoteReference"/>
          <w:rFonts w:ascii="Times New Roman" w:hAnsi="Times New Roman" w:cs="Times New Roman"/>
        </w:rPr>
        <w:footnoteReference w:id="52"/>
      </w:r>
    </w:p>
    <w:p w14:paraId="567B606B" w14:textId="21DC7645" w:rsidR="00674827" w:rsidRPr="00F959A0" w:rsidRDefault="0002229A" w:rsidP="00F959A0">
      <w:pPr>
        <w:pStyle w:val="Heading1"/>
        <w:spacing w:before="240" w:after="120" w:line="276" w:lineRule="auto"/>
        <w:jc w:val="both"/>
        <w:rPr>
          <w:rFonts w:ascii="Times New Roman" w:hAnsi="Times New Roman" w:cs="Times New Roman"/>
          <w:color w:val="000000" w:themeColor="text1"/>
          <w:sz w:val="24"/>
          <w:szCs w:val="24"/>
        </w:rPr>
      </w:pPr>
      <w:bookmarkStart w:id="5" w:name="references"/>
      <w:r w:rsidRPr="00F959A0">
        <w:rPr>
          <w:rFonts w:ascii="Times New Roman" w:hAnsi="Times New Roman" w:cs="Times New Roman"/>
          <w:color w:val="000000" w:themeColor="text1"/>
          <w:sz w:val="24"/>
          <w:szCs w:val="24"/>
        </w:rPr>
        <w:t>Bibliography</w:t>
      </w:r>
      <w:r w:rsidR="00014BB7" w:rsidRPr="00F959A0">
        <w:rPr>
          <w:rFonts w:ascii="Times New Roman" w:hAnsi="Times New Roman" w:cs="Times New Roman"/>
          <w:color w:val="000000" w:themeColor="text1"/>
          <w:sz w:val="24"/>
          <w:szCs w:val="24"/>
        </w:rPr>
        <w:t xml:space="preserve"> </w:t>
      </w:r>
    </w:p>
    <w:p w14:paraId="5FB86213" w14:textId="5197D220" w:rsidR="00BD76F6"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Ainslie, Donald. </w:t>
      </w:r>
      <w:r w:rsidRPr="00F31292">
        <w:rPr>
          <w:rFonts w:ascii="Times New Roman" w:hAnsi="Times New Roman" w:cs="Times New Roman"/>
          <w:i/>
          <w:iCs/>
        </w:rPr>
        <w:t>Hume’s True Skepticism</w:t>
      </w:r>
      <w:r w:rsidRPr="00F31292">
        <w:rPr>
          <w:rFonts w:ascii="Times New Roman" w:hAnsi="Times New Roman" w:cs="Times New Roman"/>
        </w:rPr>
        <w:t>. New York: Oxford U</w:t>
      </w:r>
      <w:r w:rsidR="00014BB7" w:rsidRPr="00F31292">
        <w:rPr>
          <w:rFonts w:ascii="Times New Roman" w:hAnsi="Times New Roman" w:cs="Times New Roman"/>
        </w:rPr>
        <w:t>niversity Press, 2015</w:t>
      </w:r>
      <w:r w:rsidRPr="00F31292">
        <w:rPr>
          <w:rFonts w:ascii="Times New Roman" w:hAnsi="Times New Roman" w:cs="Times New Roman"/>
        </w:rPr>
        <w:t>.</w:t>
      </w:r>
    </w:p>
    <w:p w14:paraId="66F81935" w14:textId="50930057" w:rsidR="000250DF"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Allison, Henry.</w:t>
      </w:r>
      <w:r w:rsidR="00014BB7" w:rsidRPr="00F31292">
        <w:rPr>
          <w:rFonts w:ascii="Times New Roman" w:hAnsi="Times New Roman" w:cs="Times New Roman"/>
        </w:rPr>
        <w:t xml:space="preserve"> </w:t>
      </w:r>
      <w:r w:rsidRPr="00F31292">
        <w:rPr>
          <w:rFonts w:ascii="Times New Roman" w:hAnsi="Times New Roman" w:cs="Times New Roman"/>
          <w:i/>
          <w:iCs/>
        </w:rPr>
        <w:t>Custom and Reason in Hume: A Kantian Reading of the First Book of the</w:t>
      </w:r>
      <w:r w:rsidRPr="00F31292">
        <w:rPr>
          <w:rFonts w:ascii="Times New Roman" w:hAnsi="Times New Roman" w:cs="Times New Roman"/>
        </w:rPr>
        <w:t xml:space="preserve"> Treatise.</w:t>
      </w:r>
      <w:r w:rsidR="00681C21">
        <w:rPr>
          <w:rFonts w:ascii="Times New Roman" w:hAnsi="Times New Roman" w:cs="Times New Roman"/>
        </w:rPr>
        <w:t xml:space="preserve"> </w:t>
      </w:r>
      <w:r w:rsidRPr="00F31292">
        <w:rPr>
          <w:rFonts w:ascii="Times New Roman" w:hAnsi="Times New Roman" w:cs="Times New Roman"/>
        </w:rPr>
        <w:t>Oxford: Clarendon Press</w:t>
      </w:r>
      <w:r w:rsidR="00014BB7" w:rsidRPr="00F31292">
        <w:rPr>
          <w:rFonts w:ascii="Times New Roman" w:hAnsi="Times New Roman" w:cs="Times New Roman"/>
        </w:rPr>
        <w:t>, 2008</w:t>
      </w:r>
      <w:r w:rsidRPr="00F31292">
        <w:rPr>
          <w:rFonts w:ascii="Times New Roman" w:hAnsi="Times New Roman" w:cs="Times New Roman"/>
        </w:rPr>
        <w:t>.</w:t>
      </w:r>
    </w:p>
    <w:p w14:paraId="00FDA00A" w14:textId="103BF379" w:rsidR="000250DF"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Aristotle. </w:t>
      </w:r>
      <w:r w:rsidR="000250DF" w:rsidRPr="00F31292">
        <w:rPr>
          <w:rFonts w:ascii="Times New Roman" w:hAnsi="Times New Roman" w:cs="Times New Roman"/>
          <w:i/>
          <w:iCs/>
        </w:rPr>
        <w:t xml:space="preserve">De Anima. </w:t>
      </w:r>
      <w:r w:rsidR="000250DF" w:rsidRPr="00F31292">
        <w:rPr>
          <w:rFonts w:ascii="Times New Roman" w:hAnsi="Times New Roman" w:cs="Times New Roman"/>
        </w:rPr>
        <w:t>Edited by W. D. Ross. Oxford: Oxford University Press, 1961</w:t>
      </w:r>
      <w:r w:rsidR="000250DF" w:rsidRPr="00F31292">
        <w:rPr>
          <w:rFonts w:ascii="Times New Roman" w:hAnsi="Times New Roman" w:cs="Times New Roman"/>
          <w:i/>
          <w:iCs/>
        </w:rPr>
        <w:t>.</w:t>
      </w:r>
    </w:p>
    <w:p w14:paraId="7CEE8C6F" w14:textId="1CF142A0" w:rsidR="00674827"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Arnauld, Antoine and Pierre Nicole. </w:t>
      </w:r>
      <w:r w:rsidRPr="00F31292">
        <w:rPr>
          <w:rFonts w:ascii="Times New Roman" w:hAnsi="Times New Roman" w:cs="Times New Roman"/>
          <w:i/>
          <w:iCs/>
        </w:rPr>
        <w:t>Logic or the Art of Thinking.</w:t>
      </w:r>
      <w:r w:rsidRPr="00F31292">
        <w:rPr>
          <w:rFonts w:ascii="Times New Roman" w:hAnsi="Times New Roman" w:cs="Times New Roman"/>
        </w:rPr>
        <w:t xml:space="preserve"> Edited and translated by Jill</w:t>
      </w:r>
    </w:p>
    <w:p w14:paraId="1DC77B8D" w14:textId="63D4A33C" w:rsidR="00BD76F6"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Vance Buroker. Cambridge: Cambridge U</w:t>
      </w:r>
      <w:r w:rsidR="00014BB7" w:rsidRPr="00F31292">
        <w:rPr>
          <w:rFonts w:ascii="Times New Roman" w:hAnsi="Times New Roman" w:cs="Times New Roman"/>
        </w:rPr>
        <w:t>niversity Press, 1996.</w:t>
      </w:r>
    </w:p>
    <w:p w14:paraId="6AC51FC3" w14:textId="44F15EC7" w:rsidR="00BD76F6" w:rsidRPr="00681C21" w:rsidRDefault="001D65DB" w:rsidP="00F959A0">
      <w:pPr>
        <w:pStyle w:val="BodyText"/>
        <w:spacing w:before="0" w:after="0" w:line="276" w:lineRule="auto"/>
        <w:ind w:left="720" w:hanging="720"/>
        <w:jc w:val="both"/>
        <w:rPr>
          <w:rFonts w:ascii="Times New Roman" w:hAnsi="Times New Roman" w:cs="Times New Roman"/>
          <w:i/>
          <w:iCs/>
        </w:rPr>
      </w:pPr>
      <w:r w:rsidRPr="00F31292">
        <w:rPr>
          <w:rFonts w:ascii="Times New Roman" w:hAnsi="Times New Roman" w:cs="Times New Roman"/>
        </w:rPr>
        <w:t xml:space="preserve">Baxter, Donald. “Hume’s Theory of Space and Time in Its Skeptical Context.” In </w:t>
      </w:r>
      <w:r w:rsidRPr="00F31292">
        <w:rPr>
          <w:rFonts w:ascii="Times New Roman" w:hAnsi="Times New Roman" w:cs="Times New Roman"/>
          <w:i/>
          <w:iCs/>
        </w:rPr>
        <w:t>Cambridge</w:t>
      </w:r>
      <w:r w:rsidR="00681C21">
        <w:rPr>
          <w:rFonts w:ascii="Times New Roman" w:hAnsi="Times New Roman" w:cs="Times New Roman"/>
          <w:i/>
          <w:iCs/>
        </w:rPr>
        <w:t xml:space="preserve"> </w:t>
      </w:r>
      <w:r w:rsidRPr="00F31292">
        <w:rPr>
          <w:rFonts w:ascii="Times New Roman" w:hAnsi="Times New Roman" w:cs="Times New Roman"/>
          <w:i/>
          <w:iCs/>
        </w:rPr>
        <w:t>Companion to Hume</w:t>
      </w:r>
      <w:r w:rsidR="00612EC1" w:rsidRPr="00F31292">
        <w:rPr>
          <w:rFonts w:ascii="Times New Roman" w:hAnsi="Times New Roman" w:cs="Times New Roman"/>
          <w:i/>
          <w:iCs/>
        </w:rPr>
        <w:t>,</w:t>
      </w:r>
      <w:r w:rsidR="00090684" w:rsidRPr="00F31292">
        <w:rPr>
          <w:rFonts w:ascii="Times New Roman" w:hAnsi="Times New Roman" w:cs="Times New Roman"/>
        </w:rPr>
        <w:t xml:space="preserve"> 2</w:t>
      </w:r>
      <w:r w:rsidR="00090684" w:rsidRPr="00F31292">
        <w:rPr>
          <w:rFonts w:ascii="Times New Roman" w:hAnsi="Times New Roman" w:cs="Times New Roman"/>
          <w:vertAlign w:val="superscript"/>
        </w:rPr>
        <w:t xml:space="preserve">nd </w:t>
      </w:r>
      <w:r w:rsidR="00612EC1" w:rsidRPr="00F31292">
        <w:rPr>
          <w:rFonts w:ascii="Times New Roman" w:hAnsi="Times New Roman" w:cs="Times New Roman"/>
          <w:vertAlign w:val="superscript"/>
        </w:rPr>
        <w:t xml:space="preserve"> </w:t>
      </w:r>
      <w:r w:rsidR="00090684" w:rsidRPr="00F31292">
        <w:rPr>
          <w:rFonts w:ascii="Times New Roman" w:hAnsi="Times New Roman" w:cs="Times New Roman"/>
        </w:rPr>
        <w:t>ed</w:t>
      </w:r>
      <w:r w:rsidR="00612EC1" w:rsidRPr="00F31292">
        <w:rPr>
          <w:rFonts w:ascii="Times New Roman" w:hAnsi="Times New Roman" w:cs="Times New Roman"/>
        </w:rPr>
        <w:t>., e</w:t>
      </w:r>
      <w:r w:rsidRPr="00F31292">
        <w:rPr>
          <w:rFonts w:ascii="Times New Roman" w:hAnsi="Times New Roman" w:cs="Times New Roman"/>
        </w:rPr>
        <w:t>dited by David Norton and Jaqueline Taylor</w:t>
      </w:r>
      <w:r w:rsidR="00612EC1" w:rsidRPr="00F31292">
        <w:rPr>
          <w:rFonts w:ascii="Times New Roman" w:hAnsi="Times New Roman" w:cs="Times New Roman"/>
        </w:rPr>
        <w:t>, 105</w:t>
      </w:r>
      <w:r w:rsidR="00681C21">
        <w:rPr>
          <w:rFonts w:ascii="Times New Roman" w:hAnsi="Times New Roman" w:cs="Times New Roman"/>
        </w:rPr>
        <w:t>–</w:t>
      </w:r>
      <w:r w:rsidR="00612EC1" w:rsidRPr="00F31292">
        <w:rPr>
          <w:rFonts w:ascii="Times New Roman" w:hAnsi="Times New Roman" w:cs="Times New Roman"/>
        </w:rPr>
        <w:t>46</w:t>
      </w:r>
      <w:r w:rsidRPr="00F31292">
        <w:rPr>
          <w:rFonts w:ascii="Times New Roman" w:hAnsi="Times New Roman" w:cs="Times New Roman"/>
        </w:rPr>
        <w:t>.</w:t>
      </w:r>
      <w:r w:rsidR="00681C21">
        <w:rPr>
          <w:rFonts w:ascii="Times New Roman" w:hAnsi="Times New Roman" w:cs="Times New Roman"/>
        </w:rPr>
        <w:t xml:space="preserve"> </w:t>
      </w:r>
      <w:r w:rsidRPr="00F31292">
        <w:rPr>
          <w:rFonts w:ascii="Times New Roman" w:hAnsi="Times New Roman" w:cs="Times New Roman"/>
        </w:rPr>
        <w:t>New</w:t>
      </w:r>
      <w:r w:rsidR="00681C21">
        <w:rPr>
          <w:rFonts w:ascii="Times New Roman" w:hAnsi="Times New Roman" w:cs="Times New Roman"/>
        </w:rPr>
        <w:t xml:space="preserve"> </w:t>
      </w:r>
      <w:r w:rsidRPr="00F31292">
        <w:rPr>
          <w:rFonts w:ascii="Times New Roman" w:hAnsi="Times New Roman" w:cs="Times New Roman"/>
        </w:rPr>
        <w:t>York:</w:t>
      </w:r>
      <w:r w:rsidR="00681C21">
        <w:rPr>
          <w:rFonts w:ascii="Times New Roman" w:hAnsi="Times New Roman" w:cs="Times New Roman"/>
        </w:rPr>
        <w:t xml:space="preserve"> </w:t>
      </w:r>
      <w:r w:rsidRPr="00F31292">
        <w:rPr>
          <w:rFonts w:ascii="Times New Roman" w:hAnsi="Times New Roman" w:cs="Times New Roman"/>
        </w:rPr>
        <w:t>Cambridge U</w:t>
      </w:r>
      <w:r w:rsidR="00014BB7" w:rsidRPr="00F31292">
        <w:rPr>
          <w:rFonts w:ascii="Times New Roman" w:hAnsi="Times New Roman" w:cs="Times New Roman"/>
        </w:rPr>
        <w:t>niversity Press, 2009</w:t>
      </w:r>
    </w:p>
    <w:p w14:paraId="1336DB31" w14:textId="77777777" w:rsidR="00681C21"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Bayle, Pierre. </w:t>
      </w:r>
      <w:r w:rsidRPr="00F31292">
        <w:rPr>
          <w:rFonts w:ascii="Times New Roman" w:hAnsi="Times New Roman" w:cs="Times New Roman"/>
          <w:i/>
          <w:iCs/>
        </w:rPr>
        <w:t>Historical and Critical Dictionary: Selections</w:t>
      </w:r>
      <w:r w:rsidRPr="00F31292">
        <w:rPr>
          <w:rFonts w:ascii="Times New Roman" w:hAnsi="Times New Roman" w:cs="Times New Roman"/>
        </w:rPr>
        <w:t xml:space="preserve">. Translated </w:t>
      </w:r>
      <w:r w:rsidR="00090684" w:rsidRPr="00F31292">
        <w:rPr>
          <w:rFonts w:ascii="Times New Roman" w:hAnsi="Times New Roman" w:cs="Times New Roman"/>
        </w:rPr>
        <w:t>wit</w:t>
      </w:r>
      <w:r w:rsidR="00612EC1" w:rsidRPr="00F31292">
        <w:rPr>
          <w:rFonts w:ascii="Times New Roman" w:hAnsi="Times New Roman" w:cs="Times New Roman"/>
        </w:rPr>
        <w:t>h</w:t>
      </w:r>
      <w:r w:rsidR="00090684" w:rsidRPr="00F31292">
        <w:rPr>
          <w:rFonts w:ascii="Times New Roman" w:hAnsi="Times New Roman" w:cs="Times New Roman"/>
        </w:rPr>
        <w:t xml:space="preserve"> introduction and notes </w:t>
      </w:r>
      <w:r w:rsidRPr="00F31292">
        <w:rPr>
          <w:rFonts w:ascii="Times New Roman" w:hAnsi="Times New Roman" w:cs="Times New Roman"/>
        </w:rPr>
        <w:t>by Richard Popkin.</w:t>
      </w:r>
      <w:r w:rsidR="00090684" w:rsidRPr="00F31292">
        <w:rPr>
          <w:rFonts w:ascii="Times New Roman" w:hAnsi="Times New Roman" w:cs="Times New Roman"/>
        </w:rPr>
        <w:t xml:space="preserve"> </w:t>
      </w:r>
      <w:r w:rsidRPr="00F31292">
        <w:rPr>
          <w:rFonts w:ascii="Times New Roman" w:hAnsi="Times New Roman" w:cs="Times New Roman"/>
        </w:rPr>
        <w:t>Indianapolis: Hackett</w:t>
      </w:r>
      <w:r w:rsidR="00014BB7" w:rsidRPr="00F31292">
        <w:rPr>
          <w:rFonts w:ascii="Times New Roman" w:hAnsi="Times New Roman" w:cs="Times New Roman"/>
        </w:rPr>
        <w:t>, 1991</w:t>
      </w:r>
      <w:r w:rsidRPr="00F31292">
        <w:rPr>
          <w:rFonts w:ascii="Times New Roman" w:hAnsi="Times New Roman" w:cs="Times New Roman"/>
        </w:rPr>
        <w:t xml:space="preserve">. </w:t>
      </w:r>
      <w:r w:rsidR="00014BB7" w:rsidRPr="00F31292">
        <w:rPr>
          <w:rFonts w:ascii="Times New Roman" w:hAnsi="Times New Roman" w:cs="Times New Roman"/>
        </w:rPr>
        <w:t>[</w:t>
      </w:r>
      <w:r w:rsidR="00014BB7" w:rsidRPr="00F31292">
        <w:rPr>
          <w:rFonts w:ascii="Times New Roman" w:hAnsi="Times New Roman" w:cs="Times New Roman"/>
          <w:i/>
          <w:iCs/>
        </w:rPr>
        <w:t>DHC</w:t>
      </w:r>
      <w:r w:rsidR="00014BB7" w:rsidRPr="00F31292">
        <w:rPr>
          <w:rFonts w:ascii="Times New Roman" w:hAnsi="Times New Roman" w:cs="Times New Roman"/>
        </w:rPr>
        <w:t>]</w:t>
      </w:r>
    </w:p>
    <w:p w14:paraId="40853367" w14:textId="1248F049" w:rsidR="00BD76F6" w:rsidRPr="00681C21"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lastRenderedPageBreak/>
        <w:t xml:space="preserve">Berkeley, George. </w:t>
      </w:r>
      <w:r w:rsidR="00681C21" w:rsidRPr="00F31292">
        <w:rPr>
          <w:rFonts w:ascii="Times New Roman" w:hAnsi="Times New Roman" w:cs="Times New Roman"/>
          <w:i/>
          <w:iCs/>
        </w:rPr>
        <w:t>Three Dialogues Between Hylas and Philonous</w:t>
      </w:r>
      <w:r w:rsidR="00681C21" w:rsidRPr="00F31292">
        <w:rPr>
          <w:rFonts w:ascii="Times New Roman" w:hAnsi="Times New Roman" w:cs="Times New Roman"/>
        </w:rPr>
        <w:t xml:space="preserve">. In </w:t>
      </w:r>
      <w:r w:rsidR="00681C21" w:rsidRPr="00F31292">
        <w:rPr>
          <w:rFonts w:ascii="Times New Roman" w:hAnsi="Times New Roman" w:cs="Times New Roman"/>
          <w:i/>
          <w:iCs/>
        </w:rPr>
        <w:t>The Works of George Berkeley, Bishop of Cloyne,</w:t>
      </w:r>
      <w:r w:rsidR="00681C21" w:rsidRPr="00F31292">
        <w:rPr>
          <w:rFonts w:ascii="Times New Roman" w:hAnsi="Times New Roman" w:cs="Times New Roman"/>
        </w:rPr>
        <w:t xml:space="preserve"> vol. 2, edited by A.A. Luce and T.E. Jessop, 171</w:t>
      </w:r>
      <w:r w:rsidR="00681C21">
        <w:rPr>
          <w:rFonts w:ascii="Times New Roman" w:hAnsi="Times New Roman" w:cs="Times New Roman"/>
        </w:rPr>
        <w:t>–</w:t>
      </w:r>
      <w:r w:rsidR="00681C21" w:rsidRPr="00F31292">
        <w:rPr>
          <w:rFonts w:ascii="Times New Roman" w:hAnsi="Times New Roman" w:cs="Times New Roman"/>
        </w:rPr>
        <w:t>263. London: Thomas Nelson and Sons, 1949. [</w:t>
      </w:r>
      <w:r w:rsidR="00681C21" w:rsidRPr="00F31292">
        <w:rPr>
          <w:rFonts w:ascii="Times New Roman" w:hAnsi="Times New Roman" w:cs="Times New Roman"/>
          <w:i/>
          <w:iCs/>
        </w:rPr>
        <w:t>DHP</w:t>
      </w:r>
      <w:r w:rsidR="00681C21" w:rsidRPr="00F31292">
        <w:rPr>
          <w:rFonts w:ascii="Times New Roman" w:hAnsi="Times New Roman" w:cs="Times New Roman"/>
        </w:rPr>
        <w:t>]</w:t>
      </w:r>
    </w:p>
    <w:p w14:paraId="5111C64A" w14:textId="69989FC0" w:rsidR="00BD76F6" w:rsidRPr="00F31292" w:rsidRDefault="00B216EE" w:rsidP="00F959A0">
      <w:pPr>
        <w:pStyle w:val="BodyText"/>
        <w:spacing w:before="0" w:after="0" w:line="276" w:lineRule="auto"/>
        <w:ind w:left="720" w:hanging="720"/>
        <w:jc w:val="both"/>
        <w:rPr>
          <w:rFonts w:ascii="Times New Roman" w:hAnsi="Times New Roman" w:cs="Times New Roman"/>
          <w:i/>
          <w:iCs/>
        </w:rPr>
      </w:pPr>
      <w:r>
        <w:rPr>
          <w:rFonts w:ascii="Times New Roman" w:hAnsi="Times New Roman" w:cs="Times New Roman"/>
        </w:rPr>
        <w:t>–––</w:t>
      </w:r>
      <w:r w:rsidR="001D65DB" w:rsidRPr="00F31292">
        <w:rPr>
          <w:rFonts w:ascii="Times New Roman" w:hAnsi="Times New Roman" w:cs="Times New Roman"/>
        </w:rPr>
        <w:t>.</w:t>
      </w:r>
      <w:r w:rsidR="00681C21">
        <w:rPr>
          <w:rFonts w:ascii="Times New Roman" w:hAnsi="Times New Roman" w:cs="Times New Roman"/>
          <w:i/>
          <w:iCs/>
        </w:rPr>
        <w:t xml:space="preserve"> </w:t>
      </w:r>
      <w:r w:rsidR="00681C21" w:rsidRPr="00F31292">
        <w:rPr>
          <w:rFonts w:ascii="Times New Roman" w:hAnsi="Times New Roman" w:cs="Times New Roman"/>
          <w:i/>
          <w:iCs/>
        </w:rPr>
        <w:t>A Treatise Concerning the Principles of Human Knowledge</w:t>
      </w:r>
      <w:r w:rsidR="00681C21" w:rsidRPr="00F31292">
        <w:rPr>
          <w:rFonts w:ascii="Times New Roman" w:hAnsi="Times New Roman" w:cs="Times New Roman"/>
        </w:rPr>
        <w:t xml:space="preserve">. In </w:t>
      </w:r>
      <w:r w:rsidR="00681C21" w:rsidRPr="00F31292">
        <w:rPr>
          <w:rFonts w:ascii="Times New Roman" w:hAnsi="Times New Roman" w:cs="Times New Roman"/>
          <w:i/>
          <w:iCs/>
        </w:rPr>
        <w:t xml:space="preserve">The Works of George Berkeley, Bishop of Cloyne, </w:t>
      </w:r>
      <w:r w:rsidR="00681C21" w:rsidRPr="00F31292">
        <w:rPr>
          <w:rFonts w:ascii="Times New Roman" w:hAnsi="Times New Roman" w:cs="Times New Roman"/>
        </w:rPr>
        <w:t>vol. 2, edited by A.A. Luce and T.E. Jessop, 25</w:t>
      </w:r>
      <w:r w:rsidR="00681C21">
        <w:rPr>
          <w:rFonts w:ascii="Times New Roman" w:hAnsi="Times New Roman" w:cs="Times New Roman"/>
        </w:rPr>
        <w:t>–</w:t>
      </w:r>
      <w:r w:rsidR="00681C21" w:rsidRPr="00F31292">
        <w:rPr>
          <w:rFonts w:ascii="Times New Roman" w:hAnsi="Times New Roman" w:cs="Times New Roman"/>
        </w:rPr>
        <w:t>113. London: Thomas</w:t>
      </w:r>
      <w:r w:rsidR="00681C21" w:rsidRPr="00F31292">
        <w:rPr>
          <w:rFonts w:ascii="Times New Roman" w:hAnsi="Times New Roman" w:cs="Times New Roman"/>
          <w:i/>
          <w:iCs/>
        </w:rPr>
        <w:t xml:space="preserve"> </w:t>
      </w:r>
      <w:r w:rsidR="00681C21" w:rsidRPr="00F31292">
        <w:rPr>
          <w:rFonts w:ascii="Times New Roman" w:hAnsi="Times New Roman" w:cs="Times New Roman"/>
        </w:rPr>
        <w:t>Nelson and Sons, 1949. [</w:t>
      </w:r>
      <w:r w:rsidR="00681C21" w:rsidRPr="00F31292">
        <w:rPr>
          <w:rFonts w:ascii="Times New Roman" w:hAnsi="Times New Roman" w:cs="Times New Roman"/>
          <w:i/>
          <w:iCs/>
        </w:rPr>
        <w:t>PHK</w:t>
      </w:r>
      <w:r w:rsidR="00681C21" w:rsidRPr="00F31292">
        <w:rPr>
          <w:rFonts w:ascii="Times New Roman" w:hAnsi="Times New Roman" w:cs="Times New Roman"/>
        </w:rPr>
        <w:t>]</w:t>
      </w:r>
    </w:p>
    <w:p w14:paraId="1BFC09A9" w14:textId="0A5A103C" w:rsidR="00EB34AA" w:rsidRPr="00F31292" w:rsidRDefault="00EB34AA"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Blackburn, Simon. “Filling in Space.” </w:t>
      </w:r>
      <w:r w:rsidRPr="00F31292">
        <w:rPr>
          <w:rFonts w:ascii="Times New Roman" w:hAnsi="Times New Roman" w:cs="Times New Roman"/>
          <w:i/>
          <w:iCs/>
        </w:rPr>
        <w:t xml:space="preserve">Analysis </w:t>
      </w:r>
      <w:r w:rsidRPr="00F31292">
        <w:rPr>
          <w:rFonts w:ascii="Times New Roman" w:hAnsi="Times New Roman" w:cs="Times New Roman"/>
        </w:rPr>
        <w:t>50 (1990): 62</w:t>
      </w:r>
      <w:r w:rsidR="00681C21">
        <w:rPr>
          <w:rFonts w:ascii="Times New Roman" w:hAnsi="Times New Roman" w:cs="Times New Roman"/>
        </w:rPr>
        <w:t>–</w:t>
      </w:r>
      <w:r w:rsidRPr="00F31292">
        <w:rPr>
          <w:rFonts w:ascii="Times New Roman" w:hAnsi="Times New Roman" w:cs="Times New Roman"/>
        </w:rPr>
        <w:t>5.</w:t>
      </w:r>
    </w:p>
    <w:p w14:paraId="2F0B4966" w14:textId="28756E61" w:rsidR="00EB34AA" w:rsidRPr="00F31292" w:rsidRDefault="00681C21" w:rsidP="00F959A0">
      <w:pPr>
        <w:pStyle w:val="BodyText"/>
        <w:spacing w:before="0" w:after="0" w:line="276" w:lineRule="auto"/>
        <w:jc w:val="both"/>
        <w:rPr>
          <w:rFonts w:ascii="Times New Roman" w:hAnsi="Times New Roman" w:cs="Times New Roman"/>
        </w:rPr>
      </w:pPr>
      <w:r>
        <w:rPr>
          <w:rFonts w:ascii="Times New Roman" w:hAnsi="Times New Roman" w:cs="Times New Roman"/>
        </w:rPr>
        <w:t>–––</w:t>
      </w:r>
      <w:r w:rsidR="00EB34AA" w:rsidRPr="00F31292">
        <w:rPr>
          <w:rFonts w:ascii="Times New Roman" w:hAnsi="Times New Roman" w:cs="Times New Roman"/>
        </w:rPr>
        <w:t xml:space="preserve">. “Hume on the Mezzanine Level.” </w:t>
      </w:r>
      <w:r w:rsidR="00EB34AA" w:rsidRPr="00F31292">
        <w:rPr>
          <w:rFonts w:ascii="Times New Roman" w:hAnsi="Times New Roman" w:cs="Times New Roman"/>
          <w:i/>
          <w:iCs/>
        </w:rPr>
        <w:t>Hume Studies</w:t>
      </w:r>
      <w:r w:rsidR="00EB34AA" w:rsidRPr="00F31292">
        <w:rPr>
          <w:rFonts w:ascii="Times New Roman" w:hAnsi="Times New Roman" w:cs="Times New Roman"/>
        </w:rPr>
        <w:t xml:space="preserve"> 19 (1993): 273</w:t>
      </w:r>
      <w:r>
        <w:rPr>
          <w:rFonts w:ascii="Times New Roman" w:hAnsi="Times New Roman" w:cs="Times New Roman"/>
        </w:rPr>
        <w:t>–</w:t>
      </w:r>
      <w:r w:rsidR="00EB34AA" w:rsidRPr="00F31292">
        <w:rPr>
          <w:rFonts w:ascii="Times New Roman" w:hAnsi="Times New Roman" w:cs="Times New Roman"/>
        </w:rPr>
        <w:t>88.</w:t>
      </w:r>
    </w:p>
    <w:p w14:paraId="043AC73D" w14:textId="106CF52D"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Boyle, Robert. </w:t>
      </w:r>
      <w:r w:rsidR="00AB03A1" w:rsidRPr="00F31292">
        <w:rPr>
          <w:rFonts w:ascii="Times New Roman" w:hAnsi="Times New Roman" w:cs="Times New Roman"/>
          <w:i/>
          <w:iCs/>
        </w:rPr>
        <w:t>The Origin</w:t>
      </w:r>
      <w:r w:rsidR="000A2705">
        <w:rPr>
          <w:rFonts w:ascii="Times New Roman" w:hAnsi="Times New Roman" w:cs="Times New Roman"/>
          <w:i/>
          <w:iCs/>
        </w:rPr>
        <w:t>e</w:t>
      </w:r>
      <w:r w:rsidR="00AB03A1" w:rsidRPr="00F31292">
        <w:rPr>
          <w:rFonts w:ascii="Times New Roman" w:hAnsi="Times New Roman" w:cs="Times New Roman"/>
          <w:i/>
          <w:iCs/>
        </w:rPr>
        <w:t xml:space="preserve"> of Form</w:t>
      </w:r>
      <w:r w:rsidR="00820D6A">
        <w:rPr>
          <w:rFonts w:ascii="Times New Roman" w:hAnsi="Times New Roman" w:cs="Times New Roman"/>
          <w:i/>
          <w:iCs/>
        </w:rPr>
        <w:t>e</w:t>
      </w:r>
      <w:r w:rsidR="00AB03A1" w:rsidRPr="00F31292">
        <w:rPr>
          <w:rFonts w:ascii="Times New Roman" w:hAnsi="Times New Roman" w:cs="Times New Roman"/>
          <w:i/>
          <w:iCs/>
        </w:rPr>
        <w:t xml:space="preserve">s and Qualities </w:t>
      </w:r>
      <w:r w:rsidR="00A6743F">
        <w:rPr>
          <w:rFonts w:ascii="Times New Roman" w:hAnsi="Times New Roman" w:cs="Times New Roman"/>
          <w:i/>
          <w:iCs/>
        </w:rPr>
        <w:t>(A</w:t>
      </w:r>
      <w:r w:rsidR="00AB03A1" w:rsidRPr="00F31292">
        <w:rPr>
          <w:rFonts w:ascii="Times New Roman" w:hAnsi="Times New Roman" w:cs="Times New Roman"/>
          <w:i/>
          <w:iCs/>
        </w:rPr>
        <w:t>ccording to the Corpuscular Philosophy</w:t>
      </w:r>
      <w:r w:rsidR="00A6743F">
        <w:rPr>
          <w:rFonts w:ascii="Times New Roman" w:hAnsi="Times New Roman" w:cs="Times New Roman"/>
          <w:i/>
          <w:iCs/>
        </w:rPr>
        <w:t>)</w:t>
      </w:r>
      <w:r w:rsidR="00AB03A1" w:rsidRPr="00F31292">
        <w:rPr>
          <w:rFonts w:ascii="Times New Roman" w:hAnsi="Times New Roman" w:cs="Times New Roman"/>
        </w:rPr>
        <w:t xml:space="preserve">. In </w:t>
      </w:r>
      <w:r w:rsidR="00A6743F">
        <w:rPr>
          <w:rFonts w:ascii="Times New Roman" w:hAnsi="Times New Roman" w:cs="Times New Roman"/>
          <w:i/>
          <w:iCs/>
        </w:rPr>
        <w:t>The Works of Robert Boyle</w:t>
      </w:r>
      <w:r w:rsidR="00AB03A1" w:rsidRPr="00F31292">
        <w:rPr>
          <w:rFonts w:ascii="Times New Roman" w:hAnsi="Times New Roman" w:cs="Times New Roman"/>
        </w:rPr>
        <w:t xml:space="preserve">, </w:t>
      </w:r>
      <w:r w:rsidR="00A6743F">
        <w:rPr>
          <w:rFonts w:ascii="Times New Roman" w:hAnsi="Times New Roman" w:cs="Times New Roman"/>
        </w:rPr>
        <w:t xml:space="preserve">vol. 5, </w:t>
      </w:r>
      <w:r w:rsidR="00AB03A1" w:rsidRPr="00F31292">
        <w:rPr>
          <w:rFonts w:ascii="Times New Roman" w:hAnsi="Times New Roman" w:cs="Times New Roman"/>
        </w:rPr>
        <w:t>e</w:t>
      </w:r>
      <w:r w:rsidRPr="00F31292">
        <w:rPr>
          <w:rFonts w:ascii="Times New Roman" w:hAnsi="Times New Roman" w:cs="Times New Roman"/>
        </w:rPr>
        <w:t xml:space="preserve">dited by </w:t>
      </w:r>
      <w:r w:rsidR="00A6743F">
        <w:rPr>
          <w:rFonts w:ascii="Times New Roman" w:hAnsi="Times New Roman" w:cs="Times New Roman"/>
        </w:rPr>
        <w:t>Michale Hunter and Edward B. Davis</w:t>
      </w:r>
      <w:r w:rsidR="00AB03A1" w:rsidRPr="00F31292">
        <w:rPr>
          <w:rFonts w:ascii="Times New Roman" w:hAnsi="Times New Roman" w:cs="Times New Roman"/>
        </w:rPr>
        <w:t xml:space="preserve">, </w:t>
      </w:r>
      <w:r w:rsidR="00A6743F">
        <w:rPr>
          <w:rFonts w:ascii="Times New Roman" w:hAnsi="Times New Roman" w:cs="Times New Roman"/>
        </w:rPr>
        <w:t>281</w:t>
      </w:r>
      <w:r w:rsidR="00681C21">
        <w:rPr>
          <w:rFonts w:ascii="Times New Roman" w:hAnsi="Times New Roman" w:cs="Times New Roman"/>
        </w:rPr>
        <w:t>–</w:t>
      </w:r>
      <w:r w:rsidR="00A6743F">
        <w:rPr>
          <w:rFonts w:ascii="Times New Roman" w:hAnsi="Times New Roman" w:cs="Times New Roman"/>
        </w:rPr>
        <w:t>491</w:t>
      </w:r>
      <w:r w:rsidRPr="00F31292">
        <w:rPr>
          <w:rFonts w:ascii="Times New Roman" w:hAnsi="Times New Roman" w:cs="Times New Roman"/>
        </w:rPr>
        <w:t xml:space="preserve">. </w:t>
      </w:r>
      <w:r w:rsidR="00A6743F">
        <w:rPr>
          <w:rFonts w:ascii="Times New Roman" w:hAnsi="Times New Roman" w:cs="Times New Roman"/>
        </w:rPr>
        <w:t>London</w:t>
      </w:r>
      <w:r w:rsidRPr="00F31292">
        <w:rPr>
          <w:rFonts w:ascii="Times New Roman" w:hAnsi="Times New Roman" w:cs="Times New Roman"/>
        </w:rPr>
        <w:t>:</w:t>
      </w:r>
      <w:r w:rsidR="00A6743F">
        <w:rPr>
          <w:rFonts w:ascii="Times New Roman" w:hAnsi="Times New Roman" w:cs="Times New Roman"/>
        </w:rPr>
        <w:t xml:space="preserve"> Pickering &amp; Chatto</w:t>
      </w:r>
      <w:r w:rsidR="00014BB7" w:rsidRPr="00F31292">
        <w:rPr>
          <w:rFonts w:ascii="Times New Roman" w:hAnsi="Times New Roman" w:cs="Times New Roman"/>
        </w:rPr>
        <w:t>, 199</w:t>
      </w:r>
      <w:r w:rsidR="00A6743F">
        <w:rPr>
          <w:rFonts w:ascii="Times New Roman" w:hAnsi="Times New Roman" w:cs="Times New Roman"/>
        </w:rPr>
        <w:t>9</w:t>
      </w:r>
      <w:r w:rsidR="00B267AA" w:rsidRPr="00F31292">
        <w:rPr>
          <w:rFonts w:ascii="Times New Roman" w:hAnsi="Times New Roman" w:cs="Times New Roman"/>
        </w:rPr>
        <w:t>.</w:t>
      </w:r>
      <w:r w:rsidR="005469E0" w:rsidRPr="00F31292">
        <w:rPr>
          <w:rFonts w:ascii="Times New Roman" w:hAnsi="Times New Roman" w:cs="Times New Roman"/>
        </w:rPr>
        <w:t xml:space="preserve"> [</w:t>
      </w:r>
      <w:r w:rsidR="005469E0" w:rsidRPr="00F31292">
        <w:rPr>
          <w:rFonts w:ascii="Times New Roman" w:hAnsi="Times New Roman" w:cs="Times New Roman"/>
          <w:i/>
          <w:iCs/>
        </w:rPr>
        <w:t>Origin</w:t>
      </w:r>
      <w:r w:rsidR="00820D6A">
        <w:rPr>
          <w:rFonts w:ascii="Times New Roman" w:hAnsi="Times New Roman" w:cs="Times New Roman"/>
          <w:i/>
          <w:iCs/>
        </w:rPr>
        <w:t>e</w:t>
      </w:r>
      <w:r w:rsidR="005469E0" w:rsidRPr="00F31292">
        <w:rPr>
          <w:rFonts w:ascii="Times New Roman" w:hAnsi="Times New Roman" w:cs="Times New Roman"/>
          <w:i/>
          <w:iCs/>
        </w:rPr>
        <w:t xml:space="preserve"> of Form</w:t>
      </w:r>
      <w:r w:rsidR="00820D6A">
        <w:rPr>
          <w:rFonts w:ascii="Times New Roman" w:hAnsi="Times New Roman" w:cs="Times New Roman"/>
          <w:i/>
          <w:iCs/>
        </w:rPr>
        <w:t>e</w:t>
      </w:r>
      <w:r w:rsidR="005469E0" w:rsidRPr="00F31292">
        <w:rPr>
          <w:rFonts w:ascii="Times New Roman" w:hAnsi="Times New Roman" w:cs="Times New Roman"/>
          <w:i/>
          <w:iCs/>
        </w:rPr>
        <w:t>s and Qualities</w:t>
      </w:r>
      <w:r w:rsidR="005469E0" w:rsidRPr="00F31292">
        <w:rPr>
          <w:rFonts w:ascii="Times New Roman" w:hAnsi="Times New Roman" w:cs="Times New Roman"/>
        </w:rPr>
        <w:t>]</w:t>
      </w:r>
    </w:p>
    <w:p w14:paraId="5DFA31EB" w14:textId="7946EE17"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Bracken, Harry. “On Some Points in Bayle, Berkeley, and Hume.” </w:t>
      </w:r>
      <w:r w:rsidRPr="00F31292">
        <w:rPr>
          <w:rFonts w:ascii="Times New Roman" w:hAnsi="Times New Roman" w:cs="Times New Roman"/>
          <w:i/>
          <w:iCs/>
        </w:rPr>
        <w:t>History of Philosophy Quarterly</w:t>
      </w:r>
      <w:r w:rsidR="0034217E" w:rsidRPr="00F31292">
        <w:rPr>
          <w:rFonts w:ascii="Times New Roman" w:hAnsi="Times New Roman" w:cs="Times New Roman"/>
        </w:rPr>
        <w:t xml:space="preserve"> </w:t>
      </w:r>
      <w:r w:rsidRPr="00F31292">
        <w:rPr>
          <w:rFonts w:ascii="Times New Roman" w:hAnsi="Times New Roman" w:cs="Times New Roman"/>
        </w:rPr>
        <w:t>4 (</w:t>
      </w:r>
      <w:r w:rsidR="00014BB7" w:rsidRPr="00F31292">
        <w:rPr>
          <w:rFonts w:ascii="Times New Roman" w:hAnsi="Times New Roman" w:cs="Times New Roman"/>
        </w:rPr>
        <w:t>1987</w:t>
      </w:r>
      <w:r w:rsidRPr="00F31292">
        <w:rPr>
          <w:rFonts w:ascii="Times New Roman" w:hAnsi="Times New Roman" w:cs="Times New Roman"/>
        </w:rPr>
        <w:t>): 435</w:t>
      </w:r>
      <w:r w:rsidR="00681C21">
        <w:rPr>
          <w:rFonts w:ascii="Times New Roman" w:hAnsi="Times New Roman" w:cs="Times New Roman"/>
        </w:rPr>
        <w:t>–</w:t>
      </w:r>
      <w:r w:rsidRPr="00F31292">
        <w:rPr>
          <w:rFonts w:ascii="Times New Roman" w:hAnsi="Times New Roman" w:cs="Times New Roman"/>
        </w:rPr>
        <w:t>46.</w:t>
      </w:r>
    </w:p>
    <w:p w14:paraId="6259FE81" w14:textId="0ADE7725" w:rsidR="00BD76F6"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Broughton, Janet. “The Inquiry in Hume’s </w:t>
      </w:r>
      <w:r w:rsidRPr="00F31292">
        <w:rPr>
          <w:rFonts w:ascii="Times New Roman" w:hAnsi="Times New Roman" w:cs="Times New Roman"/>
          <w:i/>
          <w:iCs/>
        </w:rPr>
        <w:t>Treatise</w:t>
      </w:r>
      <w:r w:rsidRPr="00F31292">
        <w:rPr>
          <w:rFonts w:ascii="Times New Roman" w:hAnsi="Times New Roman" w:cs="Times New Roman"/>
        </w:rPr>
        <w:t xml:space="preserve">.” </w:t>
      </w:r>
      <w:r w:rsidRPr="00F31292">
        <w:rPr>
          <w:rFonts w:ascii="Times New Roman" w:hAnsi="Times New Roman" w:cs="Times New Roman"/>
          <w:i/>
          <w:iCs/>
        </w:rPr>
        <w:t>Philosophical Review</w:t>
      </w:r>
      <w:r w:rsidRPr="00F31292">
        <w:rPr>
          <w:rFonts w:ascii="Times New Roman" w:hAnsi="Times New Roman" w:cs="Times New Roman"/>
        </w:rPr>
        <w:t xml:space="preserve"> 113 (</w:t>
      </w:r>
      <w:r w:rsidR="00014BB7" w:rsidRPr="00F31292">
        <w:rPr>
          <w:rFonts w:ascii="Times New Roman" w:hAnsi="Times New Roman" w:cs="Times New Roman"/>
        </w:rPr>
        <w:t>2004</w:t>
      </w:r>
      <w:r w:rsidRPr="00F31292">
        <w:rPr>
          <w:rFonts w:ascii="Times New Roman" w:hAnsi="Times New Roman" w:cs="Times New Roman"/>
        </w:rPr>
        <w:t>): 537</w:t>
      </w:r>
      <w:r w:rsidR="00681C21">
        <w:rPr>
          <w:rFonts w:ascii="Times New Roman" w:hAnsi="Times New Roman" w:cs="Times New Roman"/>
        </w:rPr>
        <w:t>–</w:t>
      </w:r>
      <w:r w:rsidRPr="00F31292">
        <w:rPr>
          <w:rFonts w:ascii="Times New Roman" w:hAnsi="Times New Roman" w:cs="Times New Roman"/>
        </w:rPr>
        <w:t>56.</w:t>
      </w:r>
    </w:p>
    <w:p w14:paraId="1D544B85" w14:textId="7EACBE24" w:rsidR="00674827"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Butler, Annemarie. “On Hume’s Supposed Rejection of Resemblance between Objects and</w:t>
      </w:r>
    </w:p>
    <w:p w14:paraId="3185778D" w14:textId="37F5023D" w:rsidR="00BD76F6"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 xml:space="preserve">Impressions.” </w:t>
      </w:r>
      <w:r w:rsidRPr="00F31292">
        <w:rPr>
          <w:rFonts w:ascii="Times New Roman" w:hAnsi="Times New Roman" w:cs="Times New Roman"/>
          <w:i/>
          <w:iCs/>
        </w:rPr>
        <w:t>British Journal for the History of Philosophy</w:t>
      </w:r>
      <w:r w:rsidRPr="00F31292">
        <w:rPr>
          <w:rFonts w:ascii="Times New Roman" w:hAnsi="Times New Roman" w:cs="Times New Roman"/>
        </w:rPr>
        <w:t xml:space="preserve"> 18 (</w:t>
      </w:r>
      <w:r w:rsidR="00014BB7" w:rsidRPr="00F31292">
        <w:rPr>
          <w:rFonts w:ascii="Times New Roman" w:hAnsi="Times New Roman" w:cs="Times New Roman"/>
        </w:rPr>
        <w:t>2010</w:t>
      </w:r>
      <w:r w:rsidRPr="00F31292">
        <w:rPr>
          <w:rFonts w:ascii="Times New Roman" w:hAnsi="Times New Roman" w:cs="Times New Roman"/>
        </w:rPr>
        <w:t>): 257</w:t>
      </w:r>
      <w:r w:rsidR="00681C21">
        <w:rPr>
          <w:rFonts w:ascii="Times New Roman" w:hAnsi="Times New Roman" w:cs="Times New Roman"/>
        </w:rPr>
        <w:t>–</w:t>
      </w:r>
      <w:r w:rsidRPr="00F31292">
        <w:rPr>
          <w:rFonts w:ascii="Times New Roman" w:hAnsi="Times New Roman" w:cs="Times New Roman"/>
        </w:rPr>
        <w:t>70.</w:t>
      </w:r>
    </w:p>
    <w:p w14:paraId="68482A25" w14:textId="5C763069"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Clarke, Samuel. </w:t>
      </w:r>
      <w:r w:rsidRPr="00F31292">
        <w:rPr>
          <w:rFonts w:ascii="Times New Roman" w:hAnsi="Times New Roman" w:cs="Times New Roman"/>
          <w:i/>
          <w:iCs/>
        </w:rPr>
        <w:t>A Defence of an Argument Made</w:t>
      </w:r>
      <w:r w:rsidR="00E82F7C" w:rsidRPr="00F31292">
        <w:rPr>
          <w:rFonts w:ascii="Times New Roman" w:hAnsi="Times New Roman" w:cs="Times New Roman"/>
          <w:i/>
          <w:iCs/>
        </w:rPr>
        <w:t xml:space="preserve"> Use</w:t>
      </w:r>
      <w:r w:rsidRPr="00F31292">
        <w:rPr>
          <w:rFonts w:ascii="Times New Roman" w:hAnsi="Times New Roman" w:cs="Times New Roman"/>
          <w:i/>
          <w:iCs/>
        </w:rPr>
        <w:t xml:space="preserve"> of in a Letter to Mr. Dodwell, To prove the</w:t>
      </w:r>
      <w:r w:rsidR="00E82F7C" w:rsidRPr="00F31292">
        <w:rPr>
          <w:rFonts w:ascii="Times New Roman" w:hAnsi="Times New Roman" w:cs="Times New Roman"/>
          <w:i/>
          <w:iCs/>
        </w:rPr>
        <w:t xml:space="preserve"> </w:t>
      </w:r>
      <w:r w:rsidRPr="00F31292">
        <w:rPr>
          <w:rFonts w:ascii="Times New Roman" w:hAnsi="Times New Roman" w:cs="Times New Roman"/>
          <w:i/>
          <w:iCs/>
        </w:rPr>
        <w:t xml:space="preserve">Immateriality and Natural Immortality of the </w:t>
      </w:r>
      <w:r w:rsidR="00525ACD">
        <w:rPr>
          <w:rFonts w:ascii="Times New Roman" w:hAnsi="Times New Roman" w:cs="Times New Roman"/>
          <w:i/>
          <w:iCs/>
        </w:rPr>
        <w:t>Soul</w:t>
      </w:r>
      <w:r w:rsidRPr="00F31292">
        <w:rPr>
          <w:rFonts w:ascii="Times New Roman" w:hAnsi="Times New Roman" w:cs="Times New Roman"/>
          <w:i/>
          <w:iCs/>
        </w:rPr>
        <w:t>.</w:t>
      </w:r>
      <w:r w:rsidRPr="00F31292">
        <w:rPr>
          <w:rFonts w:ascii="Times New Roman" w:hAnsi="Times New Roman" w:cs="Times New Roman"/>
        </w:rPr>
        <w:t xml:space="preserve"> </w:t>
      </w:r>
      <w:r w:rsidR="00E82F7C" w:rsidRPr="00F31292">
        <w:rPr>
          <w:rFonts w:ascii="Times New Roman" w:hAnsi="Times New Roman" w:cs="Times New Roman"/>
        </w:rPr>
        <w:t xml:space="preserve">In </w:t>
      </w:r>
      <w:r w:rsidR="00E82F7C" w:rsidRPr="00F31292">
        <w:rPr>
          <w:rFonts w:ascii="Times New Roman" w:hAnsi="Times New Roman" w:cs="Times New Roman"/>
          <w:i/>
          <w:iCs/>
        </w:rPr>
        <w:t>A Letter to Mr. Dodwell,</w:t>
      </w:r>
      <w:r w:rsidR="00E82F7C" w:rsidRPr="00F31292">
        <w:rPr>
          <w:rFonts w:ascii="Times New Roman" w:hAnsi="Times New Roman" w:cs="Times New Roman"/>
        </w:rPr>
        <w:t xml:space="preserve"> 6</w:t>
      </w:r>
      <w:r w:rsidR="00E82F7C" w:rsidRPr="00F31292">
        <w:rPr>
          <w:rFonts w:ascii="Times New Roman" w:hAnsi="Times New Roman" w:cs="Times New Roman"/>
          <w:vertAlign w:val="superscript"/>
        </w:rPr>
        <w:t>th</w:t>
      </w:r>
      <w:r w:rsidR="00E82F7C" w:rsidRPr="00F31292">
        <w:rPr>
          <w:rFonts w:ascii="Times New Roman" w:hAnsi="Times New Roman" w:cs="Times New Roman"/>
        </w:rPr>
        <w:t xml:space="preserve"> ed</w:t>
      </w:r>
      <w:r w:rsidR="00E82F7C" w:rsidRPr="00F31292">
        <w:rPr>
          <w:rFonts w:ascii="Times New Roman" w:hAnsi="Times New Roman" w:cs="Times New Roman"/>
          <w:i/>
          <w:iCs/>
        </w:rPr>
        <w:t>.</w:t>
      </w:r>
      <w:r w:rsidR="00E82F7C" w:rsidRPr="00F31292">
        <w:rPr>
          <w:rFonts w:ascii="Times New Roman" w:hAnsi="Times New Roman" w:cs="Times New Roman"/>
        </w:rPr>
        <w:t xml:space="preserve"> </w:t>
      </w:r>
      <w:r w:rsidRPr="00F31292">
        <w:rPr>
          <w:rFonts w:ascii="Times New Roman" w:hAnsi="Times New Roman" w:cs="Times New Roman"/>
        </w:rPr>
        <w:t>London</w:t>
      </w:r>
      <w:r w:rsidR="00E82F7C" w:rsidRPr="00F31292">
        <w:rPr>
          <w:rFonts w:ascii="Times New Roman" w:hAnsi="Times New Roman" w:cs="Times New Roman"/>
        </w:rPr>
        <w:t>: Printed for James and John Knapton,</w:t>
      </w:r>
      <w:r w:rsidR="00014BB7" w:rsidRPr="00F31292">
        <w:rPr>
          <w:rFonts w:ascii="Times New Roman" w:hAnsi="Times New Roman" w:cs="Times New Roman"/>
        </w:rPr>
        <w:t xml:space="preserve"> 1731.</w:t>
      </w:r>
      <w:r w:rsidR="005469E0" w:rsidRPr="00F31292">
        <w:rPr>
          <w:rFonts w:ascii="Times New Roman" w:hAnsi="Times New Roman" w:cs="Times New Roman"/>
        </w:rPr>
        <w:t xml:space="preserve"> </w:t>
      </w:r>
    </w:p>
    <w:p w14:paraId="7CD22908" w14:textId="04F890CA" w:rsidR="00674827" w:rsidRPr="00F31292" w:rsidRDefault="00674827"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Clay, Graham. “Hume’s Incredible Demonstrations.” </w:t>
      </w:r>
      <w:r w:rsidRPr="00F31292">
        <w:rPr>
          <w:rFonts w:ascii="Times New Roman" w:hAnsi="Times New Roman" w:cs="Times New Roman"/>
          <w:i/>
          <w:iCs/>
        </w:rPr>
        <w:t>Hume Studies</w:t>
      </w:r>
      <w:r w:rsidRPr="00F31292">
        <w:rPr>
          <w:rFonts w:ascii="Times New Roman" w:hAnsi="Times New Roman" w:cs="Times New Roman"/>
        </w:rPr>
        <w:t xml:space="preserve"> 47 (</w:t>
      </w:r>
      <w:r w:rsidR="00014BB7" w:rsidRPr="00F31292">
        <w:rPr>
          <w:rFonts w:ascii="Times New Roman" w:hAnsi="Times New Roman" w:cs="Times New Roman"/>
        </w:rPr>
        <w:t>2022</w:t>
      </w:r>
      <w:r w:rsidRPr="00F31292">
        <w:rPr>
          <w:rFonts w:ascii="Times New Roman" w:hAnsi="Times New Roman" w:cs="Times New Roman"/>
        </w:rPr>
        <w:t>): 55</w:t>
      </w:r>
      <w:r w:rsidR="00681C21">
        <w:rPr>
          <w:rFonts w:ascii="Times New Roman" w:hAnsi="Times New Roman" w:cs="Times New Roman"/>
        </w:rPr>
        <w:t>–</w:t>
      </w:r>
      <w:r w:rsidRPr="00F31292">
        <w:rPr>
          <w:rFonts w:ascii="Times New Roman" w:hAnsi="Times New Roman" w:cs="Times New Roman"/>
        </w:rPr>
        <w:t>77.</w:t>
      </w:r>
    </w:p>
    <w:p w14:paraId="0E92D539" w14:textId="0917C81B" w:rsidR="00193FEC" w:rsidRPr="00F31292" w:rsidRDefault="00193FEC"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De Pierris, Graciela. </w:t>
      </w:r>
      <w:r w:rsidRPr="00F31292">
        <w:rPr>
          <w:rFonts w:ascii="Times New Roman" w:hAnsi="Times New Roman" w:cs="Times New Roman"/>
          <w:i/>
          <w:iCs/>
        </w:rPr>
        <w:t>Ideas, Evidence, and Method: Hume’s Skepticism and Naturalism concerning Knowledge and Causation</w:t>
      </w:r>
      <w:r w:rsidRPr="00F31292">
        <w:rPr>
          <w:rFonts w:ascii="Times New Roman" w:hAnsi="Times New Roman" w:cs="Times New Roman"/>
        </w:rPr>
        <w:t>. Oxford: Oxford University Press, 2015.</w:t>
      </w:r>
    </w:p>
    <w:p w14:paraId="53E1DBE3" w14:textId="706465C8" w:rsidR="00674827"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Fisette, Jason. “Hume on the Lockean Metaphysics of Secondary Qualities.” </w:t>
      </w:r>
      <w:r w:rsidRPr="00F31292">
        <w:rPr>
          <w:rFonts w:ascii="Times New Roman" w:hAnsi="Times New Roman" w:cs="Times New Roman"/>
          <w:i/>
          <w:iCs/>
        </w:rPr>
        <w:t>Hume Studies</w:t>
      </w:r>
      <w:r w:rsidRPr="00F31292">
        <w:rPr>
          <w:rFonts w:ascii="Times New Roman" w:hAnsi="Times New Roman" w:cs="Times New Roman"/>
        </w:rPr>
        <w:t xml:space="preserve"> 40</w:t>
      </w:r>
    </w:p>
    <w:p w14:paraId="0C9CF9AD" w14:textId="337A9873" w:rsidR="00BD76F6"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w:t>
      </w:r>
      <w:r w:rsidR="00014BB7" w:rsidRPr="00F31292">
        <w:rPr>
          <w:rFonts w:ascii="Times New Roman" w:hAnsi="Times New Roman" w:cs="Times New Roman"/>
        </w:rPr>
        <w:t>2014</w:t>
      </w:r>
      <w:r w:rsidRPr="00F31292">
        <w:rPr>
          <w:rFonts w:ascii="Times New Roman" w:hAnsi="Times New Roman" w:cs="Times New Roman"/>
        </w:rPr>
        <w:t>): 95</w:t>
      </w:r>
      <w:r w:rsidR="00681C21">
        <w:rPr>
          <w:rFonts w:ascii="Times New Roman" w:hAnsi="Times New Roman" w:cs="Times New Roman"/>
        </w:rPr>
        <w:t>–</w:t>
      </w:r>
      <w:r w:rsidRPr="00F31292">
        <w:rPr>
          <w:rFonts w:ascii="Times New Roman" w:hAnsi="Times New Roman" w:cs="Times New Roman"/>
        </w:rPr>
        <w:t>136.</w:t>
      </w:r>
    </w:p>
    <w:p w14:paraId="5FE7B119" w14:textId="60F686AD" w:rsidR="004630C9"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Fogelin, Robert</w:t>
      </w:r>
      <w:r w:rsidR="00014BB7" w:rsidRPr="00F31292">
        <w:rPr>
          <w:rFonts w:ascii="Times New Roman" w:hAnsi="Times New Roman" w:cs="Times New Roman"/>
        </w:rPr>
        <w:t>.</w:t>
      </w:r>
      <w:r w:rsidR="004630C9" w:rsidRPr="00F31292">
        <w:rPr>
          <w:rFonts w:ascii="Times New Roman" w:hAnsi="Times New Roman" w:cs="Times New Roman"/>
        </w:rPr>
        <w:t xml:space="preserve"> </w:t>
      </w:r>
      <w:r w:rsidR="004630C9" w:rsidRPr="00F31292">
        <w:rPr>
          <w:rFonts w:ascii="Times New Roman" w:hAnsi="Times New Roman" w:cs="Times New Roman"/>
          <w:i/>
          <w:iCs/>
        </w:rPr>
        <w:t>Hume’s Skeptical Crisis: A Textual Study.</w:t>
      </w:r>
      <w:r w:rsidR="004630C9" w:rsidRPr="00F31292">
        <w:rPr>
          <w:rFonts w:ascii="Times New Roman" w:hAnsi="Times New Roman" w:cs="Times New Roman"/>
        </w:rPr>
        <w:t xml:space="preserve"> New York: Oxford University Press, 2009.</w:t>
      </w:r>
    </w:p>
    <w:p w14:paraId="1EA45C34" w14:textId="44F69003" w:rsidR="004630C9" w:rsidRPr="00F31292" w:rsidRDefault="00681C21" w:rsidP="00F959A0">
      <w:pPr>
        <w:pStyle w:val="BodyText"/>
        <w:spacing w:before="0" w:after="0" w:line="276" w:lineRule="auto"/>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w:t>
      </w:r>
      <w:r w:rsidR="00014BB7" w:rsidRPr="00F31292">
        <w:rPr>
          <w:rFonts w:ascii="Times New Roman" w:hAnsi="Times New Roman" w:cs="Times New Roman"/>
        </w:rPr>
        <w:t xml:space="preserve"> </w:t>
      </w:r>
      <w:r w:rsidR="004630C9" w:rsidRPr="00F31292">
        <w:rPr>
          <w:rFonts w:ascii="Times New Roman" w:hAnsi="Times New Roman" w:cs="Times New Roman"/>
          <w:i/>
          <w:iCs/>
        </w:rPr>
        <w:t xml:space="preserve">Hume’s Skepticism in the </w:t>
      </w:r>
      <w:r w:rsidR="004630C9" w:rsidRPr="00F31292">
        <w:rPr>
          <w:rFonts w:ascii="Times New Roman" w:hAnsi="Times New Roman" w:cs="Times New Roman"/>
        </w:rPr>
        <w:t>Treatise of Human Nature</w:t>
      </w:r>
      <w:r w:rsidR="004630C9" w:rsidRPr="00F31292">
        <w:rPr>
          <w:rFonts w:ascii="Times New Roman" w:hAnsi="Times New Roman" w:cs="Times New Roman"/>
          <w:i/>
          <w:iCs/>
        </w:rPr>
        <w:t>.</w:t>
      </w:r>
      <w:r w:rsidR="004630C9" w:rsidRPr="00F31292">
        <w:rPr>
          <w:rFonts w:ascii="Times New Roman" w:hAnsi="Times New Roman" w:cs="Times New Roman"/>
        </w:rPr>
        <w:t xml:space="preserve"> New York: Routledge, 1985.</w:t>
      </w:r>
    </w:p>
    <w:p w14:paraId="6DB480C7" w14:textId="2FC37672" w:rsidR="004630C9" w:rsidRPr="00F31292" w:rsidRDefault="001D65DB" w:rsidP="00F959A0">
      <w:pPr>
        <w:pStyle w:val="BodyText"/>
        <w:spacing w:before="0" w:after="0" w:line="276" w:lineRule="auto"/>
        <w:ind w:left="720" w:hanging="720"/>
        <w:jc w:val="both"/>
        <w:rPr>
          <w:rFonts w:ascii="Times New Roman" w:hAnsi="Times New Roman" w:cs="Times New Roman"/>
          <w:i/>
          <w:iCs/>
        </w:rPr>
      </w:pPr>
      <w:r w:rsidRPr="00F31292">
        <w:rPr>
          <w:rFonts w:ascii="Times New Roman" w:hAnsi="Times New Roman" w:cs="Times New Roman"/>
        </w:rPr>
        <w:t xml:space="preserve">Foucher, Simon. </w:t>
      </w:r>
      <w:r w:rsidR="004630C9" w:rsidRPr="00F31292">
        <w:rPr>
          <w:rFonts w:ascii="Times New Roman" w:hAnsi="Times New Roman" w:cs="Times New Roman"/>
          <w:i/>
          <w:iCs/>
        </w:rPr>
        <w:t>Critique of the Search after Truth.</w:t>
      </w:r>
      <w:r w:rsidR="004630C9" w:rsidRPr="00F31292">
        <w:rPr>
          <w:rFonts w:ascii="Times New Roman" w:hAnsi="Times New Roman" w:cs="Times New Roman"/>
        </w:rPr>
        <w:t xml:space="preserve"> In </w:t>
      </w:r>
      <w:r w:rsidR="004630C9" w:rsidRPr="00F31292">
        <w:rPr>
          <w:rFonts w:ascii="Times New Roman" w:hAnsi="Times New Roman" w:cs="Times New Roman"/>
          <w:i/>
          <w:iCs/>
        </w:rPr>
        <w:t>Malebranche’s First and Last Critics: Simon Foucher and Dortius de Mairan</w:t>
      </w:r>
      <w:r w:rsidR="00B267AA" w:rsidRPr="00F31292">
        <w:rPr>
          <w:rFonts w:ascii="Times New Roman" w:hAnsi="Times New Roman" w:cs="Times New Roman"/>
        </w:rPr>
        <w:t>, t</w:t>
      </w:r>
      <w:r w:rsidR="004630C9" w:rsidRPr="00F31292">
        <w:rPr>
          <w:rFonts w:ascii="Times New Roman" w:hAnsi="Times New Roman" w:cs="Times New Roman"/>
        </w:rPr>
        <w:t>ranslated by Richard Watson. Carbondale: Southern Illinois University Press, 1995.</w:t>
      </w:r>
      <w:r w:rsidR="00A02AAD" w:rsidRPr="00F31292">
        <w:rPr>
          <w:rFonts w:ascii="Times New Roman" w:hAnsi="Times New Roman" w:cs="Times New Roman"/>
        </w:rPr>
        <w:t xml:space="preserve"> </w:t>
      </w:r>
    </w:p>
    <w:p w14:paraId="29D205D1" w14:textId="3EACEC4B" w:rsidR="00BD76F6"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 xml:space="preserve">. </w:t>
      </w:r>
      <w:r w:rsidR="004630C9" w:rsidRPr="00F31292">
        <w:rPr>
          <w:rFonts w:ascii="Times New Roman" w:hAnsi="Times New Roman" w:cs="Times New Roman"/>
          <w:i/>
          <w:iCs/>
        </w:rPr>
        <w:t>Réponse pour la critique, a la preface du second volume de la recherche de la verité</w:t>
      </w:r>
      <w:r w:rsidR="004630C9" w:rsidRPr="00F31292">
        <w:rPr>
          <w:rFonts w:ascii="Times New Roman" w:hAnsi="Times New Roman" w:cs="Times New Roman"/>
        </w:rPr>
        <w:t xml:space="preserve">. Paris: </w:t>
      </w:r>
      <w:r w:rsidR="006B6378">
        <w:rPr>
          <w:rFonts w:ascii="Times New Roman" w:hAnsi="Times New Roman" w:cs="Times New Roman"/>
        </w:rPr>
        <w:t>Charles Angot</w:t>
      </w:r>
      <w:r w:rsidR="004630C9" w:rsidRPr="00F31292">
        <w:rPr>
          <w:rFonts w:ascii="Times New Roman" w:hAnsi="Times New Roman" w:cs="Times New Roman"/>
        </w:rPr>
        <w:t>, 167</w:t>
      </w:r>
      <w:r w:rsidR="006B6378">
        <w:rPr>
          <w:rFonts w:ascii="Times New Roman" w:hAnsi="Times New Roman" w:cs="Times New Roman"/>
        </w:rPr>
        <w:t>6</w:t>
      </w:r>
      <w:r w:rsidR="004630C9" w:rsidRPr="00F31292">
        <w:rPr>
          <w:rFonts w:ascii="Times New Roman" w:hAnsi="Times New Roman" w:cs="Times New Roman"/>
        </w:rPr>
        <w:t>.</w:t>
      </w:r>
    </w:p>
    <w:p w14:paraId="7935F4AB" w14:textId="23AD6CB8"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Frasca-Spada, Marina. </w:t>
      </w:r>
      <w:r w:rsidRPr="00F31292">
        <w:rPr>
          <w:rFonts w:ascii="Times New Roman" w:hAnsi="Times New Roman" w:cs="Times New Roman"/>
          <w:i/>
          <w:iCs/>
        </w:rPr>
        <w:t>Space and the Self in Hume’s</w:t>
      </w:r>
      <w:r w:rsidRPr="00F31292">
        <w:rPr>
          <w:rFonts w:ascii="Times New Roman" w:hAnsi="Times New Roman" w:cs="Times New Roman"/>
        </w:rPr>
        <w:t xml:space="preserve"> Treatise. Cambridge: Cambridge U</w:t>
      </w:r>
      <w:r w:rsidR="00014BB7" w:rsidRPr="00F31292">
        <w:rPr>
          <w:rFonts w:ascii="Times New Roman" w:hAnsi="Times New Roman" w:cs="Times New Roman"/>
        </w:rPr>
        <w:t>niversity Press, 1998</w:t>
      </w:r>
      <w:r w:rsidRPr="00F31292">
        <w:rPr>
          <w:rFonts w:ascii="Times New Roman" w:hAnsi="Times New Roman" w:cs="Times New Roman"/>
        </w:rPr>
        <w:t>.</w:t>
      </w:r>
    </w:p>
    <w:p w14:paraId="2C75B8F1" w14:textId="7CFEF2D2" w:rsidR="00193FEC"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Garrett, Don. </w:t>
      </w:r>
      <w:r w:rsidRPr="00F31292">
        <w:rPr>
          <w:rFonts w:ascii="Times New Roman" w:hAnsi="Times New Roman" w:cs="Times New Roman"/>
          <w:i/>
          <w:iCs/>
        </w:rPr>
        <w:t>Cognition and Commitment in Hume’s Philosophy.</w:t>
      </w:r>
      <w:r w:rsidRPr="00F31292">
        <w:rPr>
          <w:rFonts w:ascii="Times New Roman" w:hAnsi="Times New Roman" w:cs="Times New Roman"/>
        </w:rPr>
        <w:t xml:space="preserve"> New York: Oxford U</w:t>
      </w:r>
      <w:r w:rsidR="00014BB7" w:rsidRPr="00F31292">
        <w:rPr>
          <w:rFonts w:ascii="Times New Roman" w:hAnsi="Times New Roman" w:cs="Times New Roman"/>
        </w:rPr>
        <w:t>niversity Press, 1997</w:t>
      </w:r>
      <w:r w:rsidRPr="00F31292">
        <w:rPr>
          <w:rFonts w:ascii="Times New Roman" w:hAnsi="Times New Roman" w:cs="Times New Roman"/>
        </w:rPr>
        <w:t>.</w:t>
      </w:r>
    </w:p>
    <w:p w14:paraId="3B3F0D01" w14:textId="358121B9" w:rsidR="00193FEC"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193FEC" w:rsidRPr="00F31292">
        <w:rPr>
          <w:rFonts w:ascii="Times New Roman" w:hAnsi="Times New Roman" w:cs="Times New Roman"/>
        </w:rPr>
        <w:t xml:space="preserve">. “Hume on Reason, Normativity, and the Title Principle.” In </w:t>
      </w:r>
      <w:r w:rsidR="00193FEC" w:rsidRPr="00F31292">
        <w:rPr>
          <w:rFonts w:ascii="Times New Roman" w:hAnsi="Times New Roman" w:cs="Times New Roman"/>
          <w:i/>
          <w:iCs/>
        </w:rPr>
        <w:t>The Oxford Handbook of Hume</w:t>
      </w:r>
      <w:r w:rsidR="007C7EC4" w:rsidRPr="00F31292">
        <w:rPr>
          <w:rFonts w:ascii="Times New Roman" w:hAnsi="Times New Roman" w:cs="Times New Roman"/>
        </w:rPr>
        <w:t>, e</w:t>
      </w:r>
      <w:r w:rsidR="00193FEC" w:rsidRPr="00F31292">
        <w:rPr>
          <w:rFonts w:ascii="Times New Roman" w:hAnsi="Times New Roman" w:cs="Times New Roman"/>
        </w:rPr>
        <w:t>dited by Paul Russell</w:t>
      </w:r>
      <w:r w:rsidR="007C7EC4" w:rsidRPr="00F31292">
        <w:rPr>
          <w:rFonts w:ascii="Times New Roman" w:hAnsi="Times New Roman" w:cs="Times New Roman"/>
        </w:rPr>
        <w:t>, 32</w:t>
      </w:r>
      <w:r>
        <w:rPr>
          <w:rFonts w:ascii="Times New Roman" w:hAnsi="Times New Roman" w:cs="Times New Roman"/>
        </w:rPr>
        <w:t>–</w:t>
      </w:r>
      <w:r w:rsidR="007C7EC4" w:rsidRPr="00F31292">
        <w:rPr>
          <w:rFonts w:ascii="Times New Roman" w:hAnsi="Times New Roman" w:cs="Times New Roman"/>
        </w:rPr>
        <w:t>53</w:t>
      </w:r>
      <w:r w:rsidR="00193FEC" w:rsidRPr="00F31292">
        <w:rPr>
          <w:rFonts w:ascii="Times New Roman" w:hAnsi="Times New Roman" w:cs="Times New Roman"/>
        </w:rPr>
        <w:t>. New York: Oxford University Press</w:t>
      </w:r>
      <w:r w:rsidR="000303F6" w:rsidRPr="00F31292">
        <w:rPr>
          <w:rFonts w:ascii="Times New Roman" w:hAnsi="Times New Roman" w:cs="Times New Roman"/>
        </w:rPr>
        <w:t>, 2015.</w:t>
      </w:r>
    </w:p>
    <w:p w14:paraId="73C2ACD1" w14:textId="4724A2F7" w:rsidR="00681C21"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lastRenderedPageBreak/>
        <w:t>–––</w:t>
      </w:r>
      <w:r w:rsidRPr="00F31292">
        <w:rPr>
          <w:rFonts w:ascii="Times New Roman" w:hAnsi="Times New Roman" w:cs="Times New Roman"/>
        </w:rPr>
        <w:t xml:space="preserve">. “‘A Small Tincture of Pyrrhonism:’ Skepticism and Naturalism in Hume's Science of Man.” In </w:t>
      </w:r>
      <w:r w:rsidRPr="00F31292">
        <w:rPr>
          <w:rFonts w:ascii="Times New Roman" w:hAnsi="Times New Roman" w:cs="Times New Roman"/>
          <w:i/>
          <w:iCs/>
        </w:rPr>
        <w:t>Pyrrhonian Skepticism</w:t>
      </w:r>
      <w:r w:rsidRPr="00F31292">
        <w:rPr>
          <w:rFonts w:ascii="Times New Roman" w:hAnsi="Times New Roman" w:cs="Times New Roman"/>
        </w:rPr>
        <w:t>, edited by Walter Sinnott-Armstrong, 68</w:t>
      </w:r>
      <w:r>
        <w:rPr>
          <w:rFonts w:ascii="Times New Roman" w:hAnsi="Times New Roman" w:cs="Times New Roman"/>
        </w:rPr>
        <w:t>–</w:t>
      </w:r>
      <w:r w:rsidRPr="00F31292">
        <w:rPr>
          <w:rFonts w:ascii="Times New Roman" w:hAnsi="Times New Roman" w:cs="Times New Roman"/>
        </w:rPr>
        <w:t>98. New York: Oxford University Press, 2004.</w:t>
      </w:r>
    </w:p>
    <w:p w14:paraId="53B8F226" w14:textId="3DF4691F" w:rsidR="00674827"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Hakkarainen, Jani. “Hume on the Distinction between Primary and Secondary Qualities.” In</w:t>
      </w:r>
    </w:p>
    <w:p w14:paraId="66731985" w14:textId="4D0DA230" w:rsidR="007C7EC4"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i/>
          <w:iCs/>
        </w:rPr>
        <w:t>Vanishing Matter and the Laws of Nature: Descartes and Beyond</w:t>
      </w:r>
      <w:r w:rsidR="007C7EC4" w:rsidRPr="00F31292">
        <w:rPr>
          <w:rFonts w:ascii="Times New Roman" w:hAnsi="Times New Roman" w:cs="Times New Roman"/>
        </w:rPr>
        <w:t>, e</w:t>
      </w:r>
      <w:r w:rsidRPr="00F31292">
        <w:rPr>
          <w:rFonts w:ascii="Times New Roman" w:hAnsi="Times New Roman" w:cs="Times New Roman"/>
        </w:rPr>
        <w:t>dited by Dana</w:t>
      </w:r>
    </w:p>
    <w:p w14:paraId="415C0AB9" w14:textId="48EB87CD" w:rsidR="00BD76F6"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Jalobeanu and</w:t>
      </w:r>
      <w:r w:rsidR="007C7EC4" w:rsidRPr="00F31292">
        <w:rPr>
          <w:rFonts w:ascii="Times New Roman" w:hAnsi="Times New Roman" w:cs="Times New Roman"/>
        </w:rPr>
        <w:t xml:space="preserve"> </w:t>
      </w:r>
      <w:r w:rsidRPr="00F31292">
        <w:rPr>
          <w:rFonts w:ascii="Times New Roman" w:hAnsi="Times New Roman" w:cs="Times New Roman"/>
        </w:rPr>
        <w:t>Peter Anstey</w:t>
      </w:r>
      <w:r w:rsidR="007C7EC4" w:rsidRPr="00F31292">
        <w:rPr>
          <w:rFonts w:ascii="Times New Roman" w:hAnsi="Times New Roman" w:cs="Times New Roman"/>
        </w:rPr>
        <w:t>, 235</w:t>
      </w:r>
      <w:r w:rsidR="00681C21">
        <w:rPr>
          <w:rFonts w:ascii="Times New Roman" w:hAnsi="Times New Roman" w:cs="Times New Roman"/>
        </w:rPr>
        <w:t>–</w:t>
      </w:r>
      <w:r w:rsidR="007C7EC4" w:rsidRPr="00F31292">
        <w:rPr>
          <w:rFonts w:ascii="Times New Roman" w:hAnsi="Times New Roman" w:cs="Times New Roman"/>
        </w:rPr>
        <w:t>60</w:t>
      </w:r>
      <w:r w:rsidRPr="00F31292">
        <w:rPr>
          <w:rFonts w:ascii="Times New Roman" w:hAnsi="Times New Roman" w:cs="Times New Roman"/>
        </w:rPr>
        <w:t>. London: Routledge</w:t>
      </w:r>
      <w:r w:rsidR="00014BB7" w:rsidRPr="00F31292">
        <w:rPr>
          <w:rFonts w:ascii="Times New Roman" w:hAnsi="Times New Roman" w:cs="Times New Roman"/>
        </w:rPr>
        <w:t>, 2011.</w:t>
      </w:r>
    </w:p>
    <w:p w14:paraId="03143546" w14:textId="740ABD4A" w:rsidR="00BD76F6"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 xml:space="preserve">. “Hume’s Scepticism and Realism.” </w:t>
      </w:r>
      <w:r w:rsidR="001D65DB" w:rsidRPr="00F31292">
        <w:rPr>
          <w:rFonts w:ascii="Times New Roman" w:hAnsi="Times New Roman" w:cs="Times New Roman"/>
          <w:i/>
          <w:iCs/>
        </w:rPr>
        <w:t>British Journal for the History of Philosophy</w:t>
      </w:r>
      <w:r w:rsidR="001D65DB" w:rsidRPr="00F31292">
        <w:rPr>
          <w:rFonts w:ascii="Times New Roman" w:hAnsi="Times New Roman" w:cs="Times New Roman"/>
        </w:rPr>
        <w:t xml:space="preserve"> 20 (2</w:t>
      </w:r>
      <w:r w:rsidR="00014BB7" w:rsidRPr="00F31292">
        <w:rPr>
          <w:rFonts w:ascii="Times New Roman" w:hAnsi="Times New Roman" w:cs="Times New Roman"/>
        </w:rPr>
        <w:t>012</w:t>
      </w:r>
      <w:r w:rsidR="001D65DB" w:rsidRPr="00F31292">
        <w:rPr>
          <w:rFonts w:ascii="Times New Roman" w:hAnsi="Times New Roman" w:cs="Times New Roman"/>
        </w:rPr>
        <w:t>): 283</w:t>
      </w:r>
      <w:r>
        <w:rPr>
          <w:rFonts w:ascii="Times New Roman" w:hAnsi="Times New Roman" w:cs="Times New Roman"/>
        </w:rPr>
        <w:t>–</w:t>
      </w:r>
      <w:r w:rsidR="001D65DB" w:rsidRPr="00F31292">
        <w:rPr>
          <w:rFonts w:ascii="Times New Roman" w:hAnsi="Times New Roman" w:cs="Times New Roman"/>
        </w:rPr>
        <w:t>309.</w:t>
      </w:r>
    </w:p>
    <w:p w14:paraId="394C7EA5" w14:textId="114373FC" w:rsidR="00BD76F6" w:rsidRPr="00F31292" w:rsidRDefault="00681C21" w:rsidP="00F959A0">
      <w:pPr>
        <w:pStyle w:val="BodyText"/>
        <w:spacing w:before="0" w:after="0" w:line="276" w:lineRule="auto"/>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 xml:space="preserve">. “Why Hume Cannot Be </w:t>
      </w:r>
      <w:r w:rsidR="00AB03A1" w:rsidRPr="00F31292">
        <w:rPr>
          <w:rFonts w:ascii="Times New Roman" w:hAnsi="Times New Roman" w:cs="Times New Roman"/>
        </w:rPr>
        <w:t>a</w:t>
      </w:r>
      <w:r w:rsidR="001D65DB" w:rsidRPr="00F31292">
        <w:rPr>
          <w:rFonts w:ascii="Times New Roman" w:hAnsi="Times New Roman" w:cs="Times New Roman"/>
        </w:rPr>
        <w:t xml:space="preserve"> Realist.” </w:t>
      </w:r>
      <w:r w:rsidR="001D65DB" w:rsidRPr="00F31292">
        <w:rPr>
          <w:rFonts w:ascii="Times New Roman" w:hAnsi="Times New Roman" w:cs="Times New Roman"/>
          <w:i/>
          <w:iCs/>
        </w:rPr>
        <w:t>Journal of Scottish Philosophy</w:t>
      </w:r>
      <w:r w:rsidR="001D65DB" w:rsidRPr="00F31292">
        <w:rPr>
          <w:rFonts w:ascii="Times New Roman" w:hAnsi="Times New Roman" w:cs="Times New Roman"/>
        </w:rPr>
        <w:t xml:space="preserve"> 10 (2</w:t>
      </w:r>
      <w:r w:rsidR="00014BB7" w:rsidRPr="00F31292">
        <w:rPr>
          <w:rFonts w:ascii="Times New Roman" w:hAnsi="Times New Roman" w:cs="Times New Roman"/>
        </w:rPr>
        <w:t>012</w:t>
      </w:r>
      <w:r w:rsidR="001D65DB" w:rsidRPr="00F31292">
        <w:rPr>
          <w:rFonts w:ascii="Times New Roman" w:hAnsi="Times New Roman" w:cs="Times New Roman"/>
        </w:rPr>
        <w:t>): 143</w:t>
      </w:r>
      <w:r>
        <w:rPr>
          <w:rFonts w:ascii="Times New Roman" w:hAnsi="Times New Roman" w:cs="Times New Roman"/>
        </w:rPr>
        <w:t>–</w:t>
      </w:r>
      <w:r w:rsidR="001D65DB" w:rsidRPr="00F31292">
        <w:rPr>
          <w:rFonts w:ascii="Times New Roman" w:hAnsi="Times New Roman" w:cs="Times New Roman"/>
        </w:rPr>
        <w:t>61.</w:t>
      </w:r>
    </w:p>
    <w:p w14:paraId="23193A11" w14:textId="4459C0AC" w:rsidR="00D06315"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Holden, Thomas.</w:t>
      </w:r>
      <w:r w:rsidR="00C00318" w:rsidRPr="00F31292">
        <w:rPr>
          <w:rFonts w:ascii="Times New Roman" w:hAnsi="Times New Roman" w:cs="Times New Roman"/>
        </w:rPr>
        <w:t xml:space="preserve"> </w:t>
      </w:r>
      <w:r w:rsidR="00D06315" w:rsidRPr="00F31292">
        <w:rPr>
          <w:rFonts w:ascii="Times New Roman" w:hAnsi="Times New Roman" w:cs="Times New Roman"/>
          <w:i/>
          <w:iCs/>
        </w:rPr>
        <w:t>The Architecture of Matter: Galileo to Newton</w:t>
      </w:r>
      <w:r w:rsidR="00D06315" w:rsidRPr="00F31292">
        <w:rPr>
          <w:rFonts w:ascii="Times New Roman" w:hAnsi="Times New Roman" w:cs="Times New Roman"/>
        </w:rPr>
        <w:t>. Oxford: Cl</w:t>
      </w:r>
      <w:r w:rsidR="00C00318" w:rsidRPr="00F31292">
        <w:rPr>
          <w:rFonts w:ascii="Times New Roman" w:hAnsi="Times New Roman" w:cs="Times New Roman"/>
        </w:rPr>
        <w:t>arendon Press</w:t>
      </w:r>
      <w:r w:rsidR="00014BB7" w:rsidRPr="00F31292">
        <w:rPr>
          <w:rFonts w:ascii="Times New Roman" w:hAnsi="Times New Roman" w:cs="Times New Roman"/>
        </w:rPr>
        <w:t>, 2004.</w:t>
      </w:r>
    </w:p>
    <w:p w14:paraId="46A34CF8" w14:textId="24A0B30C" w:rsidR="00BD76F6" w:rsidRPr="00F31292" w:rsidRDefault="00681C21" w:rsidP="00F959A0">
      <w:pPr>
        <w:pStyle w:val="BodyText"/>
        <w:spacing w:before="0" w:after="0" w:line="276" w:lineRule="auto"/>
        <w:ind w:left="720" w:hanging="720"/>
        <w:jc w:val="both"/>
        <w:rPr>
          <w:rFonts w:ascii="Times New Roman" w:hAnsi="Times New Roman" w:cs="Times New Roman"/>
          <w:i/>
          <w:iCs/>
        </w:rPr>
      </w:pPr>
      <w:r>
        <w:rPr>
          <w:rFonts w:ascii="Times New Roman" w:hAnsi="Times New Roman" w:cs="Times New Roman"/>
        </w:rPr>
        <w:t>–––</w:t>
      </w:r>
      <w:r w:rsidR="00D06315" w:rsidRPr="00F31292">
        <w:rPr>
          <w:rFonts w:ascii="Times New Roman" w:hAnsi="Times New Roman" w:cs="Times New Roman"/>
        </w:rPr>
        <w:t>.</w:t>
      </w:r>
      <w:r w:rsidR="001D65DB" w:rsidRPr="00F31292">
        <w:rPr>
          <w:rFonts w:ascii="Times New Roman" w:hAnsi="Times New Roman" w:cs="Times New Roman"/>
        </w:rPr>
        <w:t xml:space="preserve"> “Berkeley on Inconceivability and Impossibility.” </w:t>
      </w:r>
      <w:r w:rsidR="001D65DB" w:rsidRPr="00F31292">
        <w:rPr>
          <w:rFonts w:ascii="Times New Roman" w:hAnsi="Times New Roman" w:cs="Times New Roman"/>
          <w:i/>
          <w:iCs/>
        </w:rPr>
        <w:t>Philosophy and</w:t>
      </w:r>
      <w:r w:rsidR="007C7EC4" w:rsidRPr="00F31292">
        <w:rPr>
          <w:rFonts w:ascii="Times New Roman" w:hAnsi="Times New Roman" w:cs="Times New Roman"/>
          <w:i/>
          <w:iCs/>
        </w:rPr>
        <w:t xml:space="preserve"> </w:t>
      </w:r>
      <w:r w:rsidR="001D65DB" w:rsidRPr="00F31292">
        <w:rPr>
          <w:rFonts w:ascii="Times New Roman" w:hAnsi="Times New Roman" w:cs="Times New Roman"/>
          <w:i/>
          <w:iCs/>
        </w:rPr>
        <w:t>Phenomenological Research</w:t>
      </w:r>
      <w:r w:rsidR="001D65DB" w:rsidRPr="00F31292">
        <w:rPr>
          <w:rFonts w:ascii="Times New Roman" w:hAnsi="Times New Roman" w:cs="Times New Roman"/>
        </w:rPr>
        <w:t xml:space="preserve"> 98 (</w:t>
      </w:r>
      <w:r w:rsidR="00014BB7" w:rsidRPr="00F31292">
        <w:rPr>
          <w:rFonts w:ascii="Times New Roman" w:hAnsi="Times New Roman" w:cs="Times New Roman"/>
        </w:rPr>
        <w:t>2019</w:t>
      </w:r>
      <w:r w:rsidR="001D65DB" w:rsidRPr="00F31292">
        <w:rPr>
          <w:rFonts w:ascii="Times New Roman" w:hAnsi="Times New Roman" w:cs="Times New Roman"/>
        </w:rPr>
        <w:t>): 107</w:t>
      </w:r>
      <w:r>
        <w:rPr>
          <w:rFonts w:ascii="Times New Roman" w:hAnsi="Times New Roman" w:cs="Times New Roman"/>
        </w:rPr>
        <w:t>–</w:t>
      </w:r>
      <w:r w:rsidR="001D65DB" w:rsidRPr="00F31292">
        <w:rPr>
          <w:rFonts w:ascii="Times New Roman" w:hAnsi="Times New Roman" w:cs="Times New Roman"/>
        </w:rPr>
        <w:t>22.</w:t>
      </w:r>
    </w:p>
    <w:p w14:paraId="1938D25C" w14:textId="2D95355F" w:rsidR="004630C9"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Hume, David. </w:t>
      </w:r>
      <w:r w:rsidR="004630C9" w:rsidRPr="00F31292">
        <w:rPr>
          <w:rFonts w:ascii="Times New Roman" w:hAnsi="Times New Roman" w:cs="Times New Roman"/>
          <w:i/>
          <w:iCs/>
        </w:rPr>
        <w:t>An Enquiry concerning Human Understanding</w:t>
      </w:r>
      <w:r w:rsidR="004630C9" w:rsidRPr="00F31292">
        <w:rPr>
          <w:rFonts w:ascii="Times New Roman" w:hAnsi="Times New Roman" w:cs="Times New Roman"/>
        </w:rPr>
        <w:t>. Edited by Tom</w:t>
      </w:r>
      <w:r w:rsidR="001B26F5">
        <w:rPr>
          <w:rFonts w:ascii="Times New Roman" w:hAnsi="Times New Roman" w:cs="Times New Roman"/>
        </w:rPr>
        <w:t xml:space="preserve"> L.</w:t>
      </w:r>
      <w:r w:rsidR="004630C9" w:rsidRPr="00F31292">
        <w:rPr>
          <w:rFonts w:ascii="Times New Roman" w:hAnsi="Times New Roman" w:cs="Times New Roman"/>
        </w:rPr>
        <w:t xml:space="preserve"> Beauchamp. Oxford:</w:t>
      </w:r>
      <w:r w:rsidR="007C7EC4" w:rsidRPr="00F31292">
        <w:rPr>
          <w:rFonts w:ascii="Times New Roman" w:hAnsi="Times New Roman" w:cs="Times New Roman"/>
        </w:rPr>
        <w:t xml:space="preserve"> </w:t>
      </w:r>
      <w:r w:rsidR="004630C9" w:rsidRPr="00F31292">
        <w:rPr>
          <w:rFonts w:ascii="Times New Roman" w:hAnsi="Times New Roman" w:cs="Times New Roman"/>
        </w:rPr>
        <w:t>Clarendon Press, 2000. [</w:t>
      </w:r>
      <w:r w:rsidR="004630C9" w:rsidRPr="00F31292">
        <w:rPr>
          <w:rFonts w:ascii="Times New Roman" w:hAnsi="Times New Roman" w:cs="Times New Roman"/>
          <w:i/>
          <w:iCs/>
        </w:rPr>
        <w:t>EU</w:t>
      </w:r>
      <w:r w:rsidR="004630C9" w:rsidRPr="00F31292">
        <w:rPr>
          <w:rFonts w:ascii="Times New Roman" w:hAnsi="Times New Roman" w:cs="Times New Roman"/>
        </w:rPr>
        <w:t>]</w:t>
      </w:r>
    </w:p>
    <w:p w14:paraId="207B00BE" w14:textId="1462BC99" w:rsidR="00BD76F6"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w:t>
      </w:r>
      <w:r w:rsidR="00014BB7" w:rsidRPr="00F31292">
        <w:rPr>
          <w:rFonts w:ascii="Times New Roman" w:hAnsi="Times New Roman" w:cs="Times New Roman"/>
        </w:rPr>
        <w:t xml:space="preserve"> </w:t>
      </w:r>
      <w:r w:rsidR="004630C9" w:rsidRPr="00F31292">
        <w:rPr>
          <w:rFonts w:ascii="Times New Roman" w:hAnsi="Times New Roman" w:cs="Times New Roman"/>
          <w:i/>
          <w:iCs/>
        </w:rPr>
        <w:t>Essays Moral, Political, and Literary</w:t>
      </w:r>
      <w:r w:rsidR="004630C9" w:rsidRPr="00F31292">
        <w:rPr>
          <w:rFonts w:ascii="Times New Roman" w:hAnsi="Times New Roman" w:cs="Times New Roman"/>
        </w:rPr>
        <w:t>. Edited by Eugene Miller. Indianapolis: Liberty Fund,</w:t>
      </w:r>
      <w:r w:rsidR="007C7EC4" w:rsidRPr="00F31292">
        <w:rPr>
          <w:rFonts w:ascii="Times New Roman" w:hAnsi="Times New Roman" w:cs="Times New Roman"/>
        </w:rPr>
        <w:t xml:space="preserve"> </w:t>
      </w:r>
      <w:r w:rsidR="004630C9" w:rsidRPr="00F31292">
        <w:rPr>
          <w:rFonts w:ascii="Times New Roman" w:hAnsi="Times New Roman" w:cs="Times New Roman"/>
        </w:rPr>
        <w:t>1985.</w:t>
      </w:r>
    </w:p>
    <w:p w14:paraId="10874468" w14:textId="5ECF4A97" w:rsidR="00A02AAD"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A02AAD" w:rsidRPr="00F31292">
        <w:rPr>
          <w:rFonts w:ascii="Times New Roman" w:hAnsi="Times New Roman" w:cs="Times New Roman"/>
        </w:rPr>
        <w:t xml:space="preserve">. “A Letter from a Gentleman </w:t>
      </w:r>
      <w:r w:rsidR="00891D76">
        <w:rPr>
          <w:rFonts w:ascii="Times New Roman" w:hAnsi="Times New Roman" w:cs="Times New Roman"/>
        </w:rPr>
        <w:t>to</w:t>
      </w:r>
      <w:r w:rsidR="00A02AAD" w:rsidRPr="00F31292">
        <w:rPr>
          <w:rFonts w:ascii="Times New Roman" w:hAnsi="Times New Roman" w:cs="Times New Roman"/>
        </w:rPr>
        <w:t xml:space="preserve"> His Friend in </w:t>
      </w:r>
      <w:r w:rsidR="00A02AAD" w:rsidRPr="00F31292">
        <w:rPr>
          <w:rFonts w:ascii="Times New Roman" w:hAnsi="Times New Roman" w:cs="Times New Roman"/>
          <w:i/>
          <w:iCs/>
        </w:rPr>
        <w:t>Edinburgh</w:t>
      </w:r>
      <w:r w:rsidR="00A02AAD" w:rsidRPr="00F31292">
        <w:rPr>
          <w:rFonts w:ascii="Times New Roman" w:hAnsi="Times New Roman" w:cs="Times New Roman"/>
        </w:rPr>
        <w:t xml:space="preserve">.” In </w:t>
      </w:r>
      <w:r w:rsidR="00A02AAD" w:rsidRPr="00F31292">
        <w:rPr>
          <w:rFonts w:ascii="Times New Roman" w:hAnsi="Times New Roman" w:cs="Times New Roman"/>
          <w:i/>
          <w:iCs/>
        </w:rPr>
        <w:t>A Treatise of Human Nature</w:t>
      </w:r>
      <w:r w:rsidR="00A02AAD" w:rsidRPr="00F31292">
        <w:rPr>
          <w:rFonts w:ascii="Times New Roman" w:hAnsi="Times New Roman" w:cs="Times New Roman"/>
        </w:rPr>
        <w:t xml:space="preserve">, </w:t>
      </w:r>
      <w:r w:rsidR="002D481B" w:rsidRPr="00F31292">
        <w:rPr>
          <w:rFonts w:ascii="Times New Roman" w:hAnsi="Times New Roman" w:cs="Times New Roman"/>
        </w:rPr>
        <w:t>edited by David</w:t>
      </w:r>
      <w:r w:rsidR="001B26F5">
        <w:rPr>
          <w:rFonts w:ascii="Times New Roman" w:hAnsi="Times New Roman" w:cs="Times New Roman"/>
        </w:rPr>
        <w:t xml:space="preserve"> Fate</w:t>
      </w:r>
      <w:r w:rsidR="002D481B" w:rsidRPr="00F31292">
        <w:rPr>
          <w:rFonts w:ascii="Times New Roman" w:hAnsi="Times New Roman" w:cs="Times New Roman"/>
        </w:rPr>
        <w:t xml:space="preserve"> Norton and Mary</w:t>
      </w:r>
      <w:r w:rsidR="001B26F5">
        <w:rPr>
          <w:rFonts w:ascii="Times New Roman" w:hAnsi="Times New Roman" w:cs="Times New Roman"/>
        </w:rPr>
        <w:t xml:space="preserve"> J.</w:t>
      </w:r>
      <w:r w:rsidR="002D481B" w:rsidRPr="00F31292">
        <w:rPr>
          <w:rFonts w:ascii="Times New Roman" w:hAnsi="Times New Roman" w:cs="Times New Roman"/>
        </w:rPr>
        <w:t xml:space="preserve"> Norton, 419</w:t>
      </w:r>
      <w:r>
        <w:rPr>
          <w:rFonts w:ascii="Times New Roman" w:hAnsi="Times New Roman" w:cs="Times New Roman"/>
        </w:rPr>
        <w:t>–</w:t>
      </w:r>
      <w:r w:rsidR="002D481B" w:rsidRPr="00F31292">
        <w:rPr>
          <w:rFonts w:ascii="Times New Roman" w:hAnsi="Times New Roman" w:cs="Times New Roman"/>
        </w:rPr>
        <w:t>31. Oxford: Clarendon Press, 2007. [LG]</w:t>
      </w:r>
    </w:p>
    <w:p w14:paraId="29D82B14" w14:textId="6D86B371" w:rsidR="00BD76F6"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w:t>
      </w:r>
      <w:r w:rsidR="00014BB7" w:rsidRPr="00F31292">
        <w:rPr>
          <w:rFonts w:ascii="Times New Roman" w:hAnsi="Times New Roman" w:cs="Times New Roman"/>
        </w:rPr>
        <w:t xml:space="preserve"> </w:t>
      </w:r>
      <w:r w:rsidR="001D65DB" w:rsidRPr="00F31292">
        <w:rPr>
          <w:rFonts w:ascii="Times New Roman" w:hAnsi="Times New Roman" w:cs="Times New Roman"/>
          <w:i/>
          <w:iCs/>
        </w:rPr>
        <w:t>A Treatise of Human Nature</w:t>
      </w:r>
      <w:r w:rsidR="00A02AAD" w:rsidRPr="00F31292">
        <w:rPr>
          <w:rFonts w:ascii="Times New Roman" w:hAnsi="Times New Roman" w:cs="Times New Roman"/>
        </w:rPr>
        <w:t>.</w:t>
      </w:r>
      <w:r w:rsidR="001D65DB" w:rsidRPr="00F31292">
        <w:rPr>
          <w:rFonts w:ascii="Times New Roman" w:hAnsi="Times New Roman" w:cs="Times New Roman"/>
        </w:rPr>
        <w:t xml:space="preserve"> Edited by D</w:t>
      </w:r>
      <w:r w:rsidR="00A02AAD" w:rsidRPr="00F31292">
        <w:rPr>
          <w:rFonts w:ascii="Times New Roman" w:hAnsi="Times New Roman" w:cs="Times New Roman"/>
        </w:rPr>
        <w:t>avid</w:t>
      </w:r>
      <w:r w:rsidR="001B26F5">
        <w:rPr>
          <w:rFonts w:ascii="Times New Roman" w:hAnsi="Times New Roman" w:cs="Times New Roman"/>
        </w:rPr>
        <w:t xml:space="preserve"> Fate</w:t>
      </w:r>
      <w:r w:rsidR="001D65DB" w:rsidRPr="00F31292">
        <w:rPr>
          <w:rFonts w:ascii="Times New Roman" w:hAnsi="Times New Roman" w:cs="Times New Roman"/>
        </w:rPr>
        <w:t xml:space="preserve"> Norton and </w:t>
      </w:r>
      <w:r w:rsidR="00A02AAD" w:rsidRPr="00F31292">
        <w:rPr>
          <w:rFonts w:ascii="Times New Roman" w:hAnsi="Times New Roman" w:cs="Times New Roman"/>
        </w:rPr>
        <w:t>Mar</w:t>
      </w:r>
      <w:r w:rsidR="001B26F5">
        <w:rPr>
          <w:rFonts w:ascii="Times New Roman" w:hAnsi="Times New Roman" w:cs="Times New Roman"/>
        </w:rPr>
        <w:t>y J.</w:t>
      </w:r>
      <w:r w:rsidR="001D65DB" w:rsidRPr="00F31292">
        <w:rPr>
          <w:rFonts w:ascii="Times New Roman" w:hAnsi="Times New Roman" w:cs="Times New Roman"/>
        </w:rPr>
        <w:t xml:space="preserve"> Norton. Oxford: Clarendon</w:t>
      </w:r>
      <w:r w:rsidR="001B26F5">
        <w:rPr>
          <w:rFonts w:ascii="Times New Roman" w:hAnsi="Times New Roman" w:cs="Times New Roman"/>
        </w:rPr>
        <w:t xml:space="preserve"> </w:t>
      </w:r>
      <w:r w:rsidR="001D65DB" w:rsidRPr="00F31292">
        <w:rPr>
          <w:rFonts w:ascii="Times New Roman" w:hAnsi="Times New Roman" w:cs="Times New Roman"/>
        </w:rPr>
        <w:t>Press</w:t>
      </w:r>
      <w:r w:rsidR="00014BB7" w:rsidRPr="00F31292">
        <w:rPr>
          <w:rFonts w:ascii="Times New Roman" w:hAnsi="Times New Roman" w:cs="Times New Roman"/>
        </w:rPr>
        <w:t>, 2007</w:t>
      </w:r>
      <w:r w:rsidR="001D65DB" w:rsidRPr="00F31292">
        <w:rPr>
          <w:rFonts w:ascii="Times New Roman" w:hAnsi="Times New Roman" w:cs="Times New Roman"/>
        </w:rPr>
        <w:t xml:space="preserve">. </w:t>
      </w:r>
      <w:r w:rsidR="00014BB7" w:rsidRPr="00F31292">
        <w:rPr>
          <w:rFonts w:ascii="Times New Roman" w:hAnsi="Times New Roman" w:cs="Times New Roman"/>
        </w:rPr>
        <w:t>[</w:t>
      </w:r>
      <w:r w:rsidR="00014BB7" w:rsidRPr="00F31292">
        <w:rPr>
          <w:rFonts w:ascii="Times New Roman" w:hAnsi="Times New Roman" w:cs="Times New Roman"/>
          <w:i/>
          <w:iCs/>
        </w:rPr>
        <w:t>T</w:t>
      </w:r>
      <w:r w:rsidR="00014BB7" w:rsidRPr="00F31292">
        <w:rPr>
          <w:rFonts w:ascii="Times New Roman" w:hAnsi="Times New Roman" w:cs="Times New Roman"/>
        </w:rPr>
        <w:t>]</w:t>
      </w:r>
    </w:p>
    <w:p w14:paraId="4A703ECB" w14:textId="068969DF" w:rsidR="00674827"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Kail, P.J.E. “Conceivability and Modality in Hume: A Lemma in an Argument in Defense of</w:t>
      </w:r>
    </w:p>
    <w:p w14:paraId="64F95EA1" w14:textId="1CD0A048" w:rsidR="00BD76F6"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 xml:space="preserve">Skeptical Realism.” </w:t>
      </w:r>
      <w:r w:rsidRPr="00F31292">
        <w:rPr>
          <w:rFonts w:ascii="Times New Roman" w:hAnsi="Times New Roman" w:cs="Times New Roman"/>
          <w:i/>
          <w:iCs/>
        </w:rPr>
        <w:t>Hume Studies</w:t>
      </w:r>
      <w:r w:rsidRPr="00F31292">
        <w:rPr>
          <w:rFonts w:ascii="Times New Roman" w:hAnsi="Times New Roman" w:cs="Times New Roman"/>
        </w:rPr>
        <w:t xml:space="preserve"> 29 (</w:t>
      </w:r>
      <w:r w:rsidR="00014BB7" w:rsidRPr="00F31292">
        <w:rPr>
          <w:rFonts w:ascii="Times New Roman" w:hAnsi="Times New Roman" w:cs="Times New Roman"/>
        </w:rPr>
        <w:t>2003</w:t>
      </w:r>
      <w:r w:rsidRPr="00F31292">
        <w:rPr>
          <w:rFonts w:ascii="Times New Roman" w:hAnsi="Times New Roman" w:cs="Times New Roman"/>
        </w:rPr>
        <w:t>): 43</w:t>
      </w:r>
      <w:r w:rsidR="00681C21">
        <w:rPr>
          <w:rFonts w:ascii="Times New Roman" w:hAnsi="Times New Roman" w:cs="Times New Roman"/>
        </w:rPr>
        <w:t>–</w:t>
      </w:r>
      <w:r w:rsidRPr="00F31292">
        <w:rPr>
          <w:rFonts w:ascii="Times New Roman" w:hAnsi="Times New Roman" w:cs="Times New Roman"/>
        </w:rPr>
        <w:t>61.</w:t>
      </w:r>
    </w:p>
    <w:p w14:paraId="15C82731" w14:textId="64348EF7" w:rsidR="00BD76F6" w:rsidRPr="00F31292" w:rsidRDefault="00681C21" w:rsidP="00F959A0">
      <w:pPr>
        <w:pStyle w:val="BodyText"/>
        <w:spacing w:before="0" w:after="0" w:line="276" w:lineRule="auto"/>
        <w:jc w:val="both"/>
        <w:rPr>
          <w:rFonts w:ascii="Times New Roman" w:hAnsi="Times New Roman" w:cs="Times New Roman"/>
        </w:rPr>
      </w:pPr>
      <w:r>
        <w:rPr>
          <w:rFonts w:ascii="Times New Roman" w:hAnsi="Times New Roman" w:cs="Times New Roman"/>
        </w:rPr>
        <w:t>–––</w:t>
      </w:r>
      <w:r w:rsidR="001D65DB" w:rsidRPr="00F31292">
        <w:rPr>
          <w:rFonts w:ascii="Times New Roman" w:hAnsi="Times New Roman" w:cs="Times New Roman"/>
        </w:rPr>
        <w:t>.</w:t>
      </w:r>
      <w:r w:rsidR="00014BB7" w:rsidRPr="00F31292">
        <w:rPr>
          <w:rFonts w:ascii="Times New Roman" w:hAnsi="Times New Roman" w:cs="Times New Roman"/>
        </w:rPr>
        <w:t xml:space="preserve"> </w:t>
      </w:r>
      <w:r w:rsidR="001D65DB" w:rsidRPr="00F31292">
        <w:rPr>
          <w:rFonts w:ascii="Times New Roman" w:hAnsi="Times New Roman" w:cs="Times New Roman"/>
          <w:i/>
          <w:iCs/>
        </w:rPr>
        <w:t>Projection and Realism in Hume’s Philosophy</w:t>
      </w:r>
      <w:r w:rsidR="001D65DB" w:rsidRPr="00F31292">
        <w:rPr>
          <w:rFonts w:ascii="Times New Roman" w:hAnsi="Times New Roman" w:cs="Times New Roman"/>
        </w:rPr>
        <w:t xml:space="preserve">. Oxford: Oxford </w:t>
      </w:r>
      <w:r w:rsidR="00014BB7" w:rsidRPr="00F31292">
        <w:rPr>
          <w:rFonts w:ascii="Times New Roman" w:hAnsi="Times New Roman" w:cs="Times New Roman"/>
        </w:rPr>
        <w:t>University Press, 2007</w:t>
      </w:r>
      <w:r w:rsidR="001D65DB" w:rsidRPr="00F31292">
        <w:rPr>
          <w:rFonts w:ascii="Times New Roman" w:hAnsi="Times New Roman" w:cs="Times New Roman"/>
        </w:rPr>
        <w:t>.</w:t>
      </w:r>
    </w:p>
    <w:p w14:paraId="3A84743A" w14:textId="77E0C239" w:rsidR="0020664E" w:rsidRPr="00F31292" w:rsidRDefault="0020664E"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Lewis, David. “Introduction.” In </w:t>
      </w:r>
      <w:r w:rsidRPr="00F31292">
        <w:rPr>
          <w:rFonts w:ascii="Times New Roman" w:hAnsi="Times New Roman" w:cs="Times New Roman"/>
          <w:i/>
          <w:iCs/>
        </w:rPr>
        <w:t>Philosophical Papers</w:t>
      </w:r>
      <w:r w:rsidRPr="00F31292">
        <w:rPr>
          <w:rFonts w:ascii="Times New Roman" w:hAnsi="Times New Roman" w:cs="Times New Roman"/>
        </w:rPr>
        <w:t xml:space="preserve">, </w:t>
      </w:r>
      <w:r w:rsidR="00E060CE" w:rsidRPr="00F31292">
        <w:rPr>
          <w:rFonts w:ascii="Times New Roman" w:hAnsi="Times New Roman" w:cs="Times New Roman"/>
        </w:rPr>
        <w:t>v</w:t>
      </w:r>
      <w:r w:rsidRPr="00F31292">
        <w:rPr>
          <w:rFonts w:ascii="Times New Roman" w:hAnsi="Times New Roman" w:cs="Times New Roman"/>
        </w:rPr>
        <w:t>ol</w:t>
      </w:r>
      <w:r w:rsidR="007C7EC4" w:rsidRPr="00F31292">
        <w:rPr>
          <w:rFonts w:ascii="Times New Roman" w:hAnsi="Times New Roman" w:cs="Times New Roman"/>
        </w:rPr>
        <w:t>.</w:t>
      </w:r>
      <w:r w:rsidRPr="00F31292">
        <w:rPr>
          <w:rFonts w:ascii="Times New Roman" w:hAnsi="Times New Roman" w:cs="Times New Roman"/>
        </w:rPr>
        <w:t xml:space="preserve"> 2.</w:t>
      </w:r>
      <w:r w:rsidR="00F87713">
        <w:rPr>
          <w:rFonts w:ascii="Times New Roman" w:hAnsi="Times New Roman" w:cs="Times New Roman"/>
        </w:rPr>
        <w:t>, ix</w:t>
      </w:r>
      <w:r w:rsidR="00681C21">
        <w:rPr>
          <w:rFonts w:ascii="Times New Roman" w:hAnsi="Times New Roman" w:cs="Times New Roman"/>
        </w:rPr>
        <w:t>–</w:t>
      </w:r>
      <w:r w:rsidR="00F87713">
        <w:rPr>
          <w:rFonts w:ascii="Times New Roman" w:hAnsi="Times New Roman" w:cs="Times New Roman"/>
        </w:rPr>
        <w:t xml:space="preserve">xvi. </w:t>
      </w:r>
      <w:r w:rsidRPr="00F31292">
        <w:rPr>
          <w:rFonts w:ascii="Times New Roman" w:hAnsi="Times New Roman" w:cs="Times New Roman"/>
        </w:rPr>
        <w:t xml:space="preserve">Cambridge: Cambridge University Press, </w:t>
      </w:r>
      <w:r w:rsidR="000E389C" w:rsidRPr="00F31292">
        <w:rPr>
          <w:rFonts w:ascii="Times New Roman" w:hAnsi="Times New Roman" w:cs="Times New Roman"/>
        </w:rPr>
        <w:t>1986.</w:t>
      </w:r>
    </w:p>
    <w:p w14:paraId="6F6F17C7" w14:textId="0C4CC441" w:rsidR="00674827"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Locke, John. </w:t>
      </w:r>
      <w:r w:rsidRPr="00F31292">
        <w:rPr>
          <w:rFonts w:ascii="Times New Roman" w:hAnsi="Times New Roman" w:cs="Times New Roman"/>
          <w:i/>
          <w:iCs/>
        </w:rPr>
        <w:t>An Essay concerning Human Understanding</w:t>
      </w:r>
      <w:r w:rsidRPr="00F31292">
        <w:rPr>
          <w:rFonts w:ascii="Times New Roman" w:hAnsi="Times New Roman" w:cs="Times New Roman"/>
        </w:rPr>
        <w:t>. Edited by Peter Nidditch. Oxford:</w:t>
      </w:r>
    </w:p>
    <w:p w14:paraId="3A943048" w14:textId="2C23AF14" w:rsidR="00BD76F6" w:rsidRPr="00F31292" w:rsidRDefault="00612EC1"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Clarendon</w:t>
      </w:r>
      <w:r w:rsidR="00014BB7" w:rsidRPr="00F31292">
        <w:rPr>
          <w:rFonts w:ascii="Times New Roman" w:hAnsi="Times New Roman" w:cs="Times New Roman"/>
        </w:rPr>
        <w:t xml:space="preserve"> Press, 1975</w:t>
      </w:r>
      <w:r w:rsidR="001D65DB" w:rsidRPr="00F31292">
        <w:rPr>
          <w:rFonts w:ascii="Times New Roman" w:hAnsi="Times New Roman" w:cs="Times New Roman"/>
        </w:rPr>
        <w:t xml:space="preserve">. </w:t>
      </w:r>
      <w:r w:rsidR="00014BB7" w:rsidRPr="00F31292">
        <w:rPr>
          <w:rFonts w:ascii="Times New Roman" w:hAnsi="Times New Roman" w:cs="Times New Roman"/>
        </w:rPr>
        <w:t>[</w:t>
      </w:r>
      <w:r w:rsidR="00014BB7" w:rsidRPr="00F31292">
        <w:rPr>
          <w:rFonts w:ascii="Times New Roman" w:hAnsi="Times New Roman" w:cs="Times New Roman"/>
          <w:i/>
          <w:iCs/>
        </w:rPr>
        <w:t>E</w:t>
      </w:r>
      <w:r w:rsidR="00014BB7" w:rsidRPr="00F31292">
        <w:rPr>
          <w:rFonts w:ascii="Times New Roman" w:hAnsi="Times New Roman" w:cs="Times New Roman"/>
        </w:rPr>
        <w:t>]</w:t>
      </w:r>
    </w:p>
    <w:p w14:paraId="620D1DCF" w14:textId="341FCC49"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Loeb, Louis. </w:t>
      </w:r>
      <w:r w:rsidRPr="00F31292">
        <w:rPr>
          <w:rFonts w:ascii="Times New Roman" w:hAnsi="Times New Roman" w:cs="Times New Roman"/>
          <w:i/>
          <w:iCs/>
        </w:rPr>
        <w:t>Stability and Justification in Hume’s</w:t>
      </w:r>
      <w:r w:rsidRPr="00F31292">
        <w:rPr>
          <w:rFonts w:ascii="Times New Roman" w:hAnsi="Times New Roman" w:cs="Times New Roman"/>
        </w:rPr>
        <w:t xml:space="preserve"> Treatise. New York: Oxford U</w:t>
      </w:r>
      <w:r w:rsidR="00014BB7" w:rsidRPr="00F31292">
        <w:rPr>
          <w:rFonts w:ascii="Times New Roman" w:hAnsi="Times New Roman" w:cs="Times New Roman"/>
        </w:rPr>
        <w:t>niversity Press,</w:t>
      </w:r>
      <w:r w:rsidR="00612EC1" w:rsidRPr="00F31292">
        <w:rPr>
          <w:rFonts w:ascii="Times New Roman" w:hAnsi="Times New Roman" w:cs="Times New Roman"/>
        </w:rPr>
        <w:t xml:space="preserve"> </w:t>
      </w:r>
      <w:r w:rsidR="00014BB7" w:rsidRPr="00F31292">
        <w:rPr>
          <w:rFonts w:ascii="Times New Roman" w:hAnsi="Times New Roman" w:cs="Times New Roman"/>
        </w:rPr>
        <w:t>2002</w:t>
      </w:r>
      <w:r w:rsidRPr="00F31292">
        <w:rPr>
          <w:rFonts w:ascii="Times New Roman" w:hAnsi="Times New Roman" w:cs="Times New Roman"/>
        </w:rPr>
        <w:t>.</w:t>
      </w:r>
    </w:p>
    <w:p w14:paraId="2C3D7E5E" w14:textId="13F81828"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Malebranche, Nicolas. </w:t>
      </w:r>
      <w:r w:rsidRPr="00F31292">
        <w:rPr>
          <w:rFonts w:ascii="Times New Roman" w:hAnsi="Times New Roman" w:cs="Times New Roman"/>
          <w:i/>
          <w:iCs/>
        </w:rPr>
        <w:t>The Search after Truth.</w:t>
      </w:r>
      <w:r w:rsidRPr="00F31292">
        <w:rPr>
          <w:rFonts w:ascii="Times New Roman" w:hAnsi="Times New Roman" w:cs="Times New Roman"/>
        </w:rPr>
        <w:t xml:space="preserve"> Translated</w:t>
      </w:r>
      <w:r w:rsidR="00612EC1" w:rsidRPr="00F31292">
        <w:rPr>
          <w:rFonts w:ascii="Times New Roman" w:hAnsi="Times New Roman" w:cs="Times New Roman"/>
        </w:rPr>
        <w:t xml:space="preserve"> and edited</w:t>
      </w:r>
      <w:r w:rsidRPr="00F31292">
        <w:rPr>
          <w:rFonts w:ascii="Times New Roman" w:hAnsi="Times New Roman" w:cs="Times New Roman"/>
        </w:rPr>
        <w:t xml:space="preserve"> by Thomas M. Lennon and Paul J.</w:t>
      </w:r>
      <w:r w:rsidR="00612EC1" w:rsidRPr="00F31292">
        <w:rPr>
          <w:rFonts w:ascii="Times New Roman" w:hAnsi="Times New Roman" w:cs="Times New Roman"/>
        </w:rPr>
        <w:t xml:space="preserve"> </w:t>
      </w:r>
      <w:r w:rsidRPr="00F31292">
        <w:rPr>
          <w:rFonts w:ascii="Times New Roman" w:hAnsi="Times New Roman" w:cs="Times New Roman"/>
        </w:rPr>
        <w:t>Olscamp. Cambridge: Cambridge U</w:t>
      </w:r>
      <w:r w:rsidR="00014BB7" w:rsidRPr="00F31292">
        <w:rPr>
          <w:rFonts w:ascii="Times New Roman" w:hAnsi="Times New Roman" w:cs="Times New Roman"/>
        </w:rPr>
        <w:t>niversity Press, 1997.</w:t>
      </w:r>
      <w:r w:rsidR="005469E0" w:rsidRPr="00F31292">
        <w:rPr>
          <w:rFonts w:ascii="Times New Roman" w:hAnsi="Times New Roman" w:cs="Times New Roman"/>
        </w:rPr>
        <w:t xml:space="preserve"> </w:t>
      </w:r>
    </w:p>
    <w:p w14:paraId="4E25B2C4" w14:textId="7125B0E8" w:rsidR="00BD76F6"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Millican, Peter. “Hume, Causal Realism, and Causal Science.” </w:t>
      </w:r>
      <w:r w:rsidRPr="00F31292">
        <w:rPr>
          <w:rFonts w:ascii="Times New Roman" w:hAnsi="Times New Roman" w:cs="Times New Roman"/>
          <w:i/>
          <w:iCs/>
        </w:rPr>
        <w:t>Mind</w:t>
      </w:r>
      <w:r w:rsidRPr="00F31292">
        <w:rPr>
          <w:rFonts w:ascii="Times New Roman" w:hAnsi="Times New Roman" w:cs="Times New Roman"/>
        </w:rPr>
        <w:t xml:space="preserve"> 118 (</w:t>
      </w:r>
      <w:r w:rsidR="00014BB7" w:rsidRPr="00F31292">
        <w:rPr>
          <w:rFonts w:ascii="Times New Roman" w:hAnsi="Times New Roman" w:cs="Times New Roman"/>
        </w:rPr>
        <w:t>2009</w:t>
      </w:r>
      <w:r w:rsidRPr="00F31292">
        <w:rPr>
          <w:rFonts w:ascii="Times New Roman" w:hAnsi="Times New Roman" w:cs="Times New Roman"/>
        </w:rPr>
        <w:t>): 648</w:t>
      </w:r>
      <w:r w:rsidR="00681C21">
        <w:rPr>
          <w:rFonts w:ascii="Times New Roman" w:hAnsi="Times New Roman" w:cs="Times New Roman"/>
        </w:rPr>
        <w:t>–</w:t>
      </w:r>
      <w:r w:rsidRPr="00F31292">
        <w:rPr>
          <w:rFonts w:ascii="Times New Roman" w:hAnsi="Times New Roman" w:cs="Times New Roman"/>
        </w:rPr>
        <w:t>712.</w:t>
      </w:r>
    </w:p>
    <w:p w14:paraId="1747E225" w14:textId="09CB853C" w:rsidR="00BD76F6"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Pitson, A.E. “Hume on Primary and Secondary Qualities.” </w:t>
      </w:r>
      <w:r w:rsidRPr="00F31292">
        <w:rPr>
          <w:rFonts w:ascii="Times New Roman" w:hAnsi="Times New Roman" w:cs="Times New Roman"/>
          <w:i/>
          <w:iCs/>
        </w:rPr>
        <w:t>Hume Studies</w:t>
      </w:r>
      <w:r w:rsidRPr="00F31292">
        <w:rPr>
          <w:rFonts w:ascii="Times New Roman" w:hAnsi="Times New Roman" w:cs="Times New Roman"/>
        </w:rPr>
        <w:t xml:space="preserve"> 8 (</w:t>
      </w:r>
      <w:r w:rsidR="00014BB7" w:rsidRPr="00F31292">
        <w:rPr>
          <w:rFonts w:ascii="Times New Roman" w:hAnsi="Times New Roman" w:cs="Times New Roman"/>
        </w:rPr>
        <w:t>1982</w:t>
      </w:r>
      <w:r w:rsidRPr="00F31292">
        <w:rPr>
          <w:rFonts w:ascii="Times New Roman" w:hAnsi="Times New Roman" w:cs="Times New Roman"/>
        </w:rPr>
        <w:t>): 125</w:t>
      </w:r>
      <w:r w:rsidR="00681C21">
        <w:rPr>
          <w:rFonts w:ascii="Times New Roman" w:hAnsi="Times New Roman" w:cs="Times New Roman"/>
        </w:rPr>
        <w:t>–</w:t>
      </w:r>
      <w:r w:rsidRPr="00F31292">
        <w:rPr>
          <w:rFonts w:ascii="Times New Roman" w:hAnsi="Times New Roman" w:cs="Times New Roman"/>
        </w:rPr>
        <w:t>38.</w:t>
      </w:r>
    </w:p>
    <w:p w14:paraId="22FA21DC" w14:textId="57496874" w:rsidR="00B846F4" w:rsidRPr="00F31292" w:rsidRDefault="00B846F4"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Popkin, Richard. “So, Hume Did Read Berkeley.” </w:t>
      </w:r>
      <w:r w:rsidRPr="00F31292">
        <w:rPr>
          <w:rFonts w:ascii="Times New Roman" w:hAnsi="Times New Roman" w:cs="Times New Roman"/>
          <w:i/>
          <w:iCs/>
        </w:rPr>
        <w:t xml:space="preserve">Journal of Philosophy </w:t>
      </w:r>
      <w:r w:rsidRPr="00F31292">
        <w:rPr>
          <w:rFonts w:ascii="Times New Roman" w:hAnsi="Times New Roman" w:cs="Times New Roman"/>
        </w:rPr>
        <w:t>61 (1964): 773</w:t>
      </w:r>
      <w:r w:rsidR="00681C21">
        <w:rPr>
          <w:rFonts w:ascii="Times New Roman" w:hAnsi="Times New Roman" w:cs="Times New Roman"/>
        </w:rPr>
        <w:t>–</w:t>
      </w:r>
      <w:r w:rsidRPr="00F31292">
        <w:rPr>
          <w:rFonts w:ascii="Times New Roman" w:hAnsi="Times New Roman" w:cs="Times New Roman"/>
        </w:rPr>
        <w:t>78.</w:t>
      </w:r>
    </w:p>
    <w:p w14:paraId="20CCF8D3" w14:textId="6FEA8D7A" w:rsidR="00BD76F6"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Qu, Hsueh. </w:t>
      </w:r>
      <w:r w:rsidRPr="00F31292">
        <w:rPr>
          <w:rFonts w:ascii="Times New Roman" w:hAnsi="Times New Roman" w:cs="Times New Roman"/>
          <w:i/>
          <w:iCs/>
        </w:rPr>
        <w:t>Hume’s Epistemological Evolution.</w:t>
      </w:r>
      <w:r w:rsidRPr="00F31292">
        <w:rPr>
          <w:rFonts w:ascii="Times New Roman" w:hAnsi="Times New Roman" w:cs="Times New Roman"/>
        </w:rPr>
        <w:t xml:space="preserve"> New York: Oxford U</w:t>
      </w:r>
      <w:r w:rsidR="00014BB7" w:rsidRPr="00F31292">
        <w:rPr>
          <w:rFonts w:ascii="Times New Roman" w:hAnsi="Times New Roman" w:cs="Times New Roman"/>
        </w:rPr>
        <w:t>niversity Press, 2020</w:t>
      </w:r>
      <w:r w:rsidRPr="00F31292">
        <w:rPr>
          <w:rFonts w:ascii="Times New Roman" w:hAnsi="Times New Roman" w:cs="Times New Roman"/>
        </w:rPr>
        <w:t>.</w:t>
      </w:r>
    </w:p>
    <w:p w14:paraId="72728061" w14:textId="46F287FB" w:rsidR="00BD76F6" w:rsidRPr="00F31292" w:rsidRDefault="001D65DB"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Russell, Paul. “Hume’s </w:t>
      </w:r>
      <w:r w:rsidRPr="00F31292">
        <w:rPr>
          <w:rFonts w:ascii="Times New Roman" w:hAnsi="Times New Roman" w:cs="Times New Roman"/>
          <w:i/>
          <w:iCs/>
        </w:rPr>
        <w:t>Treatise</w:t>
      </w:r>
      <w:r w:rsidRPr="00F31292">
        <w:rPr>
          <w:rFonts w:ascii="Times New Roman" w:hAnsi="Times New Roman" w:cs="Times New Roman"/>
        </w:rPr>
        <w:t xml:space="preserve"> and the Clarke-Collins Controversy.” </w:t>
      </w:r>
      <w:r w:rsidRPr="00F31292">
        <w:rPr>
          <w:rFonts w:ascii="Times New Roman" w:hAnsi="Times New Roman" w:cs="Times New Roman"/>
          <w:i/>
          <w:iCs/>
        </w:rPr>
        <w:t>Hume Studies</w:t>
      </w:r>
      <w:r w:rsidRPr="00F31292">
        <w:rPr>
          <w:rFonts w:ascii="Times New Roman" w:hAnsi="Times New Roman" w:cs="Times New Roman"/>
        </w:rPr>
        <w:t xml:space="preserve"> 21 (</w:t>
      </w:r>
      <w:r w:rsidR="00014BB7" w:rsidRPr="00F31292">
        <w:rPr>
          <w:rFonts w:ascii="Times New Roman" w:hAnsi="Times New Roman" w:cs="Times New Roman"/>
        </w:rPr>
        <w:t>1995</w:t>
      </w:r>
      <w:r w:rsidRPr="00F31292">
        <w:rPr>
          <w:rFonts w:ascii="Times New Roman" w:hAnsi="Times New Roman" w:cs="Times New Roman"/>
        </w:rPr>
        <w:t>): 95</w:t>
      </w:r>
      <w:r w:rsidR="00681C21">
        <w:rPr>
          <w:rFonts w:ascii="Times New Roman" w:hAnsi="Times New Roman" w:cs="Times New Roman"/>
        </w:rPr>
        <w:t>–</w:t>
      </w:r>
      <w:r w:rsidRPr="00F31292">
        <w:rPr>
          <w:rFonts w:ascii="Times New Roman" w:hAnsi="Times New Roman" w:cs="Times New Roman"/>
        </w:rPr>
        <w:t>115.</w:t>
      </w:r>
    </w:p>
    <w:p w14:paraId="54F39FDE" w14:textId="575A75DB" w:rsidR="00193FEC" w:rsidRPr="00F31292" w:rsidRDefault="00193FEC"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 xml:space="preserve">Sasser, Nathan. </w:t>
      </w:r>
      <w:r w:rsidRPr="00F31292">
        <w:rPr>
          <w:rFonts w:ascii="Times New Roman" w:hAnsi="Times New Roman" w:cs="Times New Roman"/>
          <w:i/>
          <w:iCs/>
        </w:rPr>
        <w:t>Hume and the Demands of Philosophy: Science, Skepticism, and Moderation</w:t>
      </w:r>
      <w:r w:rsidRPr="00F31292">
        <w:rPr>
          <w:rFonts w:ascii="Times New Roman" w:hAnsi="Times New Roman" w:cs="Times New Roman"/>
        </w:rPr>
        <w:t>. Lanham: Lexington, 2022.</w:t>
      </w:r>
    </w:p>
    <w:p w14:paraId="6942726E" w14:textId="6F84F9E2" w:rsidR="00193FEC" w:rsidRPr="00F31292" w:rsidRDefault="00193FEC"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lastRenderedPageBreak/>
        <w:t xml:space="preserve">Schafer, Karl. “Curious Virtues in Hume’s Epistemology.” </w:t>
      </w:r>
      <w:r w:rsidRPr="00F31292">
        <w:rPr>
          <w:rFonts w:ascii="Times New Roman" w:hAnsi="Times New Roman" w:cs="Times New Roman"/>
          <w:i/>
          <w:iCs/>
        </w:rPr>
        <w:t>Philosophers’ Imprint</w:t>
      </w:r>
      <w:r w:rsidRPr="00F31292">
        <w:rPr>
          <w:rFonts w:ascii="Times New Roman" w:hAnsi="Times New Roman" w:cs="Times New Roman"/>
        </w:rPr>
        <w:t xml:space="preserve"> 14 (2014): 1–20.</w:t>
      </w:r>
    </w:p>
    <w:p w14:paraId="798F1DBF" w14:textId="0EB72F83" w:rsidR="00193FEC" w:rsidRPr="00F31292" w:rsidRDefault="00193FEC"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Schmitt, Fredrick. </w:t>
      </w:r>
      <w:r w:rsidRPr="00F31292">
        <w:rPr>
          <w:rFonts w:ascii="Times New Roman" w:hAnsi="Times New Roman" w:cs="Times New Roman"/>
          <w:i/>
          <w:iCs/>
        </w:rPr>
        <w:t>Hume’s Epistemology in the</w:t>
      </w:r>
      <w:r w:rsidRPr="00F31292">
        <w:rPr>
          <w:rFonts w:ascii="Times New Roman" w:hAnsi="Times New Roman" w:cs="Times New Roman"/>
        </w:rPr>
        <w:t xml:space="preserve"> Treatise. Oxford: Oxford University Press, 2014.</w:t>
      </w:r>
    </w:p>
    <w:p w14:paraId="6D541762" w14:textId="76D531F6" w:rsidR="00BD76F6" w:rsidRPr="00681C21" w:rsidRDefault="001D65DB" w:rsidP="00F959A0">
      <w:pPr>
        <w:pStyle w:val="BodyText"/>
        <w:spacing w:before="0" w:after="0" w:line="276" w:lineRule="auto"/>
        <w:ind w:left="720" w:hanging="720"/>
        <w:jc w:val="both"/>
        <w:rPr>
          <w:rFonts w:ascii="Times New Roman" w:hAnsi="Times New Roman" w:cs="Times New Roman"/>
          <w:i/>
          <w:iCs/>
        </w:rPr>
      </w:pPr>
      <w:r w:rsidRPr="00F31292">
        <w:rPr>
          <w:rFonts w:ascii="Times New Roman" w:hAnsi="Times New Roman" w:cs="Times New Roman"/>
        </w:rPr>
        <w:t xml:space="preserve">Sturgeon, Nicholas. “Moral Skepticism and Moral Naturalism in Hume’s </w:t>
      </w:r>
      <w:r w:rsidRPr="00F31292">
        <w:rPr>
          <w:rFonts w:ascii="Times New Roman" w:hAnsi="Times New Roman" w:cs="Times New Roman"/>
          <w:i/>
          <w:iCs/>
        </w:rPr>
        <w:t>Treatise</w:t>
      </w:r>
      <w:r w:rsidRPr="00F31292">
        <w:rPr>
          <w:rFonts w:ascii="Times New Roman" w:hAnsi="Times New Roman" w:cs="Times New Roman"/>
        </w:rPr>
        <w:t xml:space="preserve">.” </w:t>
      </w:r>
      <w:r w:rsidRPr="00F31292">
        <w:rPr>
          <w:rFonts w:ascii="Times New Roman" w:hAnsi="Times New Roman" w:cs="Times New Roman"/>
          <w:i/>
          <w:iCs/>
        </w:rPr>
        <w:t>Hume</w:t>
      </w:r>
      <w:r w:rsidR="00681C21">
        <w:rPr>
          <w:rFonts w:ascii="Times New Roman" w:hAnsi="Times New Roman" w:cs="Times New Roman"/>
          <w:i/>
          <w:iCs/>
        </w:rPr>
        <w:t xml:space="preserve"> </w:t>
      </w:r>
      <w:r w:rsidRPr="00F31292">
        <w:rPr>
          <w:rFonts w:ascii="Times New Roman" w:hAnsi="Times New Roman" w:cs="Times New Roman"/>
          <w:i/>
          <w:iCs/>
        </w:rPr>
        <w:t>Studies</w:t>
      </w:r>
      <w:r w:rsidR="00681C21">
        <w:rPr>
          <w:rFonts w:ascii="Times New Roman" w:hAnsi="Times New Roman" w:cs="Times New Roman"/>
        </w:rPr>
        <w:t xml:space="preserve"> </w:t>
      </w:r>
      <w:r w:rsidRPr="00F31292">
        <w:rPr>
          <w:rFonts w:ascii="Times New Roman" w:hAnsi="Times New Roman" w:cs="Times New Roman"/>
        </w:rPr>
        <w:t>7 (</w:t>
      </w:r>
      <w:r w:rsidR="00014BB7" w:rsidRPr="00F31292">
        <w:rPr>
          <w:rFonts w:ascii="Times New Roman" w:hAnsi="Times New Roman" w:cs="Times New Roman"/>
        </w:rPr>
        <w:t>200</w:t>
      </w:r>
      <w:r w:rsidRPr="00F31292">
        <w:rPr>
          <w:rFonts w:ascii="Times New Roman" w:hAnsi="Times New Roman" w:cs="Times New Roman"/>
        </w:rPr>
        <w:t>1): 3</w:t>
      </w:r>
      <w:r w:rsidR="00681C21">
        <w:rPr>
          <w:rFonts w:ascii="Times New Roman" w:hAnsi="Times New Roman" w:cs="Times New Roman"/>
        </w:rPr>
        <w:t>–</w:t>
      </w:r>
      <w:r w:rsidRPr="00F31292">
        <w:rPr>
          <w:rFonts w:ascii="Times New Roman" w:hAnsi="Times New Roman" w:cs="Times New Roman"/>
        </w:rPr>
        <w:t>83.</w:t>
      </w:r>
    </w:p>
    <w:p w14:paraId="12BEDB8D" w14:textId="1CB4ED1E" w:rsidR="002D0156" w:rsidRPr="00F31292" w:rsidRDefault="002D0156"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Watson, Richard. </w:t>
      </w:r>
      <w:r w:rsidRPr="00F31292">
        <w:rPr>
          <w:rFonts w:ascii="Times New Roman" w:hAnsi="Times New Roman" w:cs="Times New Roman"/>
          <w:i/>
          <w:iCs/>
        </w:rPr>
        <w:t>The Breakdown of Cartesian Metaphysics</w:t>
      </w:r>
      <w:r w:rsidRPr="00F31292">
        <w:rPr>
          <w:rFonts w:ascii="Times New Roman" w:hAnsi="Times New Roman" w:cs="Times New Roman"/>
        </w:rPr>
        <w:t>. Indianapolis: Hackett, 1987.</w:t>
      </w:r>
    </w:p>
    <w:p w14:paraId="2ED61264" w14:textId="32F157C4" w:rsidR="000303F6" w:rsidRPr="00F31292" w:rsidRDefault="000303F6" w:rsidP="00F959A0">
      <w:pPr>
        <w:pStyle w:val="BodyText"/>
        <w:spacing w:before="0" w:after="0" w:line="276" w:lineRule="auto"/>
        <w:ind w:left="720" w:hanging="720"/>
        <w:jc w:val="both"/>
        <w:rPr>
          <w:rFonts w:ascii="Times New Roman" w:hAnsi="Times New Roman" w:cs="Times New Roman"/>
        </w:rPr>
      </w:pPr>
      <w:r w:rsidRPr="00F31292">
        <w:rPr>
          <w:rFonts w:ascii="Times New Roman" w:hAnsi="Times New Roman" w:cs="Times New Roman"/>
        </w:rPr>
        <w:t>Williams, Michael. “Hume</w:t>
      </w:r>
      <w:r w:rsidR="00612EC1" w:rsidRPr="00F31292">
        <w:rPr>
          <w:rFonts w:ascii="Times New Roman" w:hAnsi="Times New Roman" w:cs="Times New Roman"/>
        </w:rPr>
        <w:t>’</w:t>
      </w:r>
      <w:r w:rsidRPr="00F31292">
        <w:rPr>
          <w:rFonts w:ascii="Times New Roman" w:hAnsi="Times New Roman" w:cs="Times New Roman"/>
        </w:rPr>
        <w:t xml:space="preserve">s Skepticism.” In </w:t>
      </w:r>
      <w:r w:rsidRPr="00F31292">
        <w:rPr>
          <w:rFonts w:ascii="Times New Roman" w:hAnsi="Times New Roman" w:cs="Times New Roman"/>
          <w:i/>
          <w:iCs/>
        </w:rPr>
        <w:t>The Oxford Handbook of Skepticism</w:t>
      </w:r>
      <w:r w:rsidR="00612EC1" w:rsidRPr="00F31292">
        <w:rPr>
          <w:rFonts w:ascii="Times New Roman" w:hAnsi="Times New Roman" w:cs="Times New Roman"/>
        </w:rPr>
        <w:t>, e</w:t>
      </w:r>
      <w:r w:rsidRPr="00F31292">
        <w:rPr>
          <w:rFonts w:ascii="Times New Roman" w:hAnsi="Times New Roman" w:cs="Times New Roman"/>
        </w:rPr>
        <w:t>dited by John Greco</w:t>
      </w:r>
      <w:r w:rsidR="00612EC1" w:rsidRPr="00F31292">
        <w:rPr>
          <w:rFonts w:ascii="Times New Roman" w:hAnsi="Times New Roman" w:cs="Times New Roman"/>
        </w:rPr>
        <w:t>, 80</w:t>
      </w:r>
      <w:r w:rsidR="00681C21">
        <w:rPr>
          <w:rFonts w:ascii="Times New Roman" w:hAnsi="Times New Roman" w:cs="Times New Roman"/>
        </w:rPr>
        <w:t>–</w:t>
      </w:r>
      <w:r w:rsidR="00612EC1" w:rsidRPr="00F31292">
        <w:rPr>
          <w:rFonts w:ascii="Times New Roman" w:hAnsi="Times New Roman" w:cs="Times New Roman"/>
        </w:rPr>
        <w:t>107</w:t>
      </w:r>
      <w:r w:rsidRPr="00F31292">
        <w:rPr>
          <w:rFonts w:ascii="Times New Roman" w:hAnsi="Times New Roman" w:cs="Times New Roman"/>
        </w:rPr>
        <w:t>. Oxford: Oxford University Press, 2008.</w:t>
      </w:r>
    </w:p>
    <w:p w14:paraId="4E120256" w14:textId="60A462F9" w:rsidR="00BD76F6"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 xml:space="preserve">Winkler, Kenneth. </w:t>
      </w:r>
      <w:r w:rsidRPr="00F31292">
        <w:rPr>
          <w:rFonts w:ascii="Times New Roman" w:hAnsi="Times New Roman" w:cs="Times New Roman"/>
          <w:i/>
          <w:iCs/>
        </w:rPr>
        <w:t>Berkeley: An Interpretation</w:t>
      </w:r>
      <w:r w:rsidRPr="00F31292">
        <w:rPr>
          <w:rFonts w:ascii="Times New Roman" w:hAnsi="Times New Roman" w:cs="Times New Roman"/>
        </w:rPr>
        <w:t>. Oxford: Clarendon Press</w:t>
      </w:r>
      <w:r w:rsidR="00014BB7" w:rsidRPr="00F31292">
        <w:rPr>
          <w:rFonts w:ascii="Times New Roman" w:hAnsi="Times New Roman" w:cs="Times New Roman"/>
        </w:rPr>
        <w:t>, 1989.</w:t>
      </w:r>
    </w:p>
    <w:p w14:paraId="5C9C20B6" w14:textId="515DC03C" w:rsidR="00BD76F6" w:rsidRPr="00F31292" w:rsidRDefault="00681C21" w:rsidP="00F959A0">
      <w:pPr>
        <w:pStyle w:val="BodyText"/>
        <w:spacing w:before="0" w:after="0" w:line="276" w:lineRule="auto"/>
        <w:ind w:left="720" w:hanging="720"/>
        <w:jc w:val="both"/>
        <w:rPr>
          <w:rFonts w:ascii="Times New Roman" w:hAnsi="Times New Roman" w:cs="Times New Roman"/>
          <w:i/>
          <w:iCs/>
        </w:rPr>
      </w:pPr>
      <w:r>
        <w:rPr>
          <w:rFonts w:ascii="Times New Roman" w:hAnsi="Times New Roman" w:cs="Times New Roman"/>
        </w:rPr>
        <w:t>–––</w:t>
      </w:r>
      <w:r w:rsidR="001D65DB" w:rsidRPr="00F31292">
        <w:rPr>
          <w:rFonts w:ascii="Times New Roman" w:hAnsi="Times New Roman" w:cs="Times New Roman"/>
        </w:rPr>
        <w:t xml:space="preserve">. “Hume and the Sensible Qualities.” In </w:t>
      </w:r>
      <w:r w:rsidR="001D65DB" w:rsidRPr="00F31292">
        <w:rPr>
          <w:rFonts w:ascii="Times New Roman" w:hAnsi="Times New Roman" w:cs="Times New Roman"/>
          <w:i/>
          <w:iCs/>
        </w:rPr>
        <w:t>Primary and Secondary Qualities: The Historical and</w:t>
      </w:r>
      <w:r w:rsidR="00612EC1" w:rsidRPr="00F31292">
        <w:rPr>
          <w:rFonts w:ascii="Times New Roman" w:hAnsi="Times New Roman" w:cs="Times New Roman"/>
          <w:i/>
          <w:iCs/>
        </w:rPr>
        <w:t xml:space="preserve"> </w:t>
      </w:r>
      <w:r w:rsidR="001D65DB" w:rsidRPr="00F31292">
        <w:rPr>
          <w:rFonts w:ascii="Times New Roman" w:hAnsi="Times New Roman" w:cs="Times New Roman"/>
          <w:i/>
          <w:iCs/>
        </w:rPr>
        <w:t>Ongoing Debate</w:t>
      </w:r>
      <w:r w:rsidR="00612EC1" w:rsidRPr="00F31292">
        <w:rPr>
          <w:rFonts w:ascii="Times New Roman" w:hAnsi="Times New Roman" w:cs="Times New Roman"/>
        </w:rPr>
        <w:t>, e</w:t>
      </w:r>
      <w:r w:rsidR="001D65DB" w:rsidRPr="00F31292">
        <w:rPr>
          <w:rFonts w:ascii="Times New Roman" w:hAnsi="Times New Roman" w:cs="Times New Roman"/>
        </w:rPr>
        <w:t>dited by Lawrence Nolan</w:t>
      </w:r>
      <w:r w:rsidR="00612EC1" w:rsidRPr="00F31292">
        <w:rPr>
          <w:rFonts w:ascii="Times New Roman" w:hAnsi="Times New Roman" w:cs="Times New Roman"/>
        </w:rPr>
        <w:t>, 239</w:t>
      </w:r>
      <w:r>
        <w:rPr>
          <w:rFonts w:ascii="Times New Roman" w:hAnsi="Times New Roman" w:cs="Times New Roman"/>
        </w:rPr>
        <w:t>–</w:t>
      </w:r>
      <w:r w:rsidR="00612EC1" w:rsidRPr="00F31292">
        <w:rPr>
          <w:rFonts w:ascii="Times New Roman" w:hAnsi="Times New Roman" w:cs="Times New Roman"/>
        </w:rPr>
        <w:t>73</w:t>
      </w:r>
      <w:r w:rsidR="001D65DB" w:rsidRPr="00F31292">
        <w:rPr>
          <w:rFonts w:ascii="Times New Roman" w:hAnsi="Times New Roman" w:cs="Times New Roman"/>
        </w:rPr>
        <w:t>. Oxford: Oxford U</w:t>
      </w:r>
      <w:r w:rsidR="00014BB7" w:rsidRPr="00F31292">
        <w:rPr>
          <w:rFonts w:ascii="Times New Roman" w:hAnsi="Times New Roman" w:cs="Times New Roman"/>
        </w:rPr>
        <w:t>niversity Press, 2011.</w:t>
      </w:r>
    </w:p>
    <w:p w14:paraId="399A4B96" w14:textId="085A4567" w:rsidR="004630C9" w:rsidRPr="00F31292" w:rsidRDefault="00681C21" w:rsidP="00F959A0">
      <w:pPr>
        <w:pStyle w:val="BodyText"/>
        <w:spacing w:before="0" w:after="0" w:line="276" w:lineRule="auto"/>
        <w:jc w:val="both"/>
        <w:rPr>
          <w:rFonts w:ascii="Times New Roman" w:hAnsi="Times New Roman" w:cs="Times New Roman"/>
        </w:rPr>
      </w:pPr>
      <w:r>
        <w:rPr>
          <w:rFonts w:ascii="Times New Roman" w:hAnsi="Times New Roman" w:cs="Times New Roman"/>
        </w:rPr>
        <w:t>–––</w:t>
      </w:r>
      <w:r w:rsidR="004630C9" w:rsidRPr="00F31292">
        <w:rPr>
          <w:rFonts w:ascii="Times New Roman" w:hAnsi="Times New Roman" w:cs="Times New Roman"/>
        </w:rPr>
        <w:t xml:space="preserve">. “Hutcheson and Hume on the Color of Virtue.” </w:t>
      </w:r>
      <w:r w:rsidR="004630C9" w:rsidRPr="00F31292">
        <w:rPr>
          <w:rFonts w:ascii="Times New Roman" w:hAnsi="Times New Roman" w:cs="Times New Roman"/>
          <w:i/>
          <w:iCs/>
        </w:rPr>
        <w:t>Hume Studies</w:t>
      </w:r>
      <w:r w:rsidR="004630C9" w:rsidRPr="00F31292">
        <w:rPr>
          <w:rFonts w:ascii="Times New Roman" w:hAnsi="Times New Roman" w:cs="Times New Roman"/>
        </w:rPr>
        <w:t xml:space="preserve"> 22 (1996): 3</w:t>
      </w:r>
      <w:r>
        <w:rPr>
          <w:rFonts w:ascii="Times New Roman" w:hAnsi="Times New Roman" w:cs="Times New Roman"/>
        </w:rPr>
        <w:t>–</w:t>
      </w:r>
      <w:r w:rsidR="004630C9" w:rsidRPr="00F31292">
        <w:rPr>
          <w:rFonts w:ascii="Times New Roman" w:hAnsi="Times New Roman" w:cs="Times New Roman"/>
        </w:rPr>
        <w:t>22</w:t>
      </w:r>
    </w:p>
    <w:p w14:paraId="6C9FCE7D" w14:textId="1AD86C4F" w:rsidR="00BD76F6" w:rsidRPr="00F31292" w:rsidRDefault="001D65DB" w:rsidP="00F959A0">
      <w:pPr>
        <w:pStyle w:val="BodyText"/>
        <w:spacing w:before="0" w:after="0" w:line="276" w:lineRule="auto"/>
        <w:ind w:left="720" w:hanging="720"/>
        <w:jc w:val="both"/>
        <w:rPr>
          <w:rFonts w:ascii="Times New Roman" w:hAnsi="Times New Roman" w:cs="Times New Roman"/>
          <w:i/>
          <w:iCs/>
        </w:rPr>
      </w:pPr>
      <w:r w:rsidRPr="00F31292">
        <w:rPr>
          <w:rFonts w:ascii="Times New Roman" w:hAnsi="Times New Roman" w:cs="Times New Roman"/>
        </w:rPr>
        <w:t xml:space="preserve">Wood, Paul. “David Hume on Thomas Reid’s </w:t>
      </w:r>
      <w:r w:rsidRPr="00F31292">
        <w:rPr>
          <w:rFonts w:ascii="Times New Roman" w:hAnsi="Times New Roman" w:cs="Times New Roman"/>
          <w:i/>
          <w:iCs/>
        </w:rPr>
        <w:t>An Inquiry into the Human Mind, On the Principles</w:t>
      </w:r>
      <w:r w:rsidR="00612EC1" w:rsidRPr="00F31292">
        <w:rPr>
          <w:rFonts w:ascii="Times New Roman" w:hAnsi="Times New Roman" w:cs="Times New Roman"/>
          <w:i/>
          <w:iCs/>
        </w:rPr>
        <w:t xml:space="preserve"> </w:t>
      </w:r>
      <w:r w:rsidRPr="00F31292">
        <w:rPr>
          <w:rFonts w:ascii="Times New Roman" w:hAnsi="Times New Roman" w:cs="Times New Roman"/>
          <w:i/>
          <w:iCs/>
        </w:rPr>
        <w:t>of Common Sense</w:t>
      </w:r>
      <w:r w:rsidRPr="00F31292">
        <w:rPr>
          <w:rFonts w:ascii="Times New Roman" w:hAnsi="Times New Roman" w:cs="Times New Roman"/>
        </w:rPr>
        <w:t xml:space="preserve">: A New Letter to Hugh Blair from July 1762.” </w:t>
      </w:r>
      <w:r w:rsidRPr="00F31292">
        <w:rPr>
          <w:rFonts w:ascii="Times New Roman" w:hAnsi="Times New Roman" w:cs="Times New Roman"/>
          <w:i/>
          <w:iCs/>
        </w:rPr>
        <w:t>Mind</w:t>
      </w:r>
      <w:r w:rsidRPr="00F31292">
        <w:rPr>
          <w:rFonts w:ascii="Times New Roman" w:hAnsi="Times New Roman" w:cs="Times New Roman"/>
        </w:rPr>
        <w:t xml:space="preserve"> 95 (</w:t>
      </w:r>
      <w:r w:rsidR="00014BB7" w:rsidRPr="00F31292">
        <w:rPr>
          <w:rFonts w:ascii="Times New Roman" w:hAnsi="Times New Roman" w:cs="Times New Roman"/>
        </w:rPr>
        <w:t>1986</w:t>
      </w:r>
      <w:r w:rsidRPr="00F31292">
        <w:rPr>
          <w:rFonts w:ascii="Times New Roman" w:hAnsi="Times New Roman" w:cs="Times New Roman"/>
        </w:rPr>
        <w:t>): 411</w:t>
      </w:r>
      <w:r w:rsidR="00681C21">
        <w:rPr>
          <w:rFonts w:ascii="Times New Roman" w:hAnsi="Times New Roman" w:cs="Times New Roman"/>
        </w:rPr>
        <w:t>–</w:t>
      </w:r>
      <w:r w:rsidRPr="00F31292">
        <w:rPr>
          <w:rFonts w:ascii="Times New Roman" w:hAnsi="Times New Roman" w:cs="Times New Roman"/>
        </w:rPr>
        <w:t>16.</w:t>
      </w:r>
    </w:p>
    <w:p w14:paraId="1834D4DA" w14:textId="5D568950" w:rsidR="00674827" w:rsidRPr="00F31292" w:rsidRDefault="001D65DB" w:rsidP="00F959A0">
      <w:pPr>
        <w:pStyle w:val="BodyText"/>
        <w:spacing w:before="0" w:after="0" w:line="276" w:lineRule="auto"/>
        <w:jc w:val="both"/>
        <w:rPr>
          <w:rFonts w:ascii="Times New Roman" w:hAnsi="Times New Roman" w:cs="Times New Roman"/>
        </w:rPr>
      </w:pPr>
      <w:r w:rsidRPr="00F31292">
        <w:rPr>
          <w:rFonts w:ascii="Times New Roman" w:hAnsi="Times New Roman" w:cs="Times New Roman"/>
        </w:rPr>
        <w:t>Wright, John. “Hume’s Academic Skepticism: A Reappraisal of His Philosophy of Human</w:t>
      </w:r>
    </w:p>
    <w:p w14:paraId="49C19296" w14:textId="0A9AB610" w:rsidR="00BD76F6" w:rsidRPr="00F31292" w:rsidRDefault="001D65DB" w:rsidP="00F959A0">
      <w:pPr>
        <w:pStyle w:val="BodyText"/>
        <w:spacing w:before="0" w:after="0" w:line="276" w:lineRule="auto"/>
        <w:ind w:firstLine="720"/>
        <w:jc w:val="both"/>
        <w:rPr>
          <w:rFonts w:ascii="Times New Roman" w:hAnsi="Times New Roman" w:cs="Times New Roman"/>
        </w:rPr>
      </w:pPr>
      <w:r w:rsidRPr="00F31292">
        <w:rPr>
          <w:rFonts w:ascii="Times New Roman" w:hAnsi="Times New Roman" w:cs="Times New Roman"/>
        </w:rPr>
        <w:t xml:space="preserve">Understanding.” </w:t>
      </w:r>
      <w:r w:rsidRPr="00F31292">
        <w:rPr>
          <w:rFonts w:ascii="Times New Roman" w:hAnsi="Times New Roman" w:cs="Times New Roman"/>
          <w:i/>
          <w:iCs/>
        </w:rPr>
        <w:t>Canadian Journal of Philosophy</w:t>
      </w:r>
      <w:r w:rsidRPr="00F31292">
        <w:rPr>
          <w:rFonts w:ascii="Times New Roman" w:hAnsi="Times New Roman" w:cs="Times New Roman"/>
        </w:rPr>
        <w:t xml:space="preserve"> 16 (</w:t>
      </w:r>
      <w:r w:rsidR="00014BB7" w:rsidRPr="00F31292">
        <w:rPr>
          <w:rFonts w:ascii="Times New Roman" w:hAnsi="Times New Roman" w:cs="Times New Roman"/>
        </w:rPr>
        <w:t>1986</w:t>
      </w:r>
      <w:r w:rsidRPr="00F31292">
        <w:rPr>
          <w:rFonts w:ascii="Times New Roman" w:hAnsi="Times New Roman" w:cs="Times New Roman"/>
        </w:rPr>
        <w:t>): 407</w:t>
      </w:r>
      <w:r w:rsidR="00681C21">
        <w:rPr>
          <w:rFonts w:ascii="Times New Roman" w:hAnsi="Times New Roman" w:cs="Times New Roman"/>
        </w:rPr>
        <w:t>–</w:t>
      </w:r>
      <w:r w:rsidRPr="00F31292">
        <w:rPr>
          <w:rFonts w:ascii="Times New Roman" w:hAnsi="Times New Roman" w:cs="Times New Roman"/>
        </w:rPr>
        <w:t>35.</w:t>
      </w:r>
    </w:p>
    <w:p w14:paraId="7BD58D39" w14:textId="4DACA7BD" w:rsidR="00241487" w:rsidRPr="00F31292" w:rsidRDefault="00681C21" w:rsidP="00F959A0">
      <w:pPr>
        <w:pStyle w:val="BodyText"/>
        <w:spacing w:before="0" w:after="0" w:line="276" w:lineRule="auto"/>
        <w:ind w:left="720" w:hanging="720"/>
        <w:jc w:val="both"/>
        <w:rPr>
          <w:rFonts w:ascii="Times New Roman" w:hAnsi="Times New Roman" w:cs="Times New Roman"/>
        </w:rPr>
      </w:pPr>
      <w:r>
        <w:rPr>
          <w:rFonts w:ascii="Times New Roman" w:hAnsi="Times New Roman" w:cs="Times New Roman"/>
        </w:rPr>
        <w:t>–––</w:t>
      </w:r>
      <w:r w:rsidR="00241487" w:rsidRPr="00F31292">
        <w:rPr>
          <w:rFonts w:ascii="Times New Roman" w:hAnsi="Times New Roman" w:cs="Times New Roman"/>
        </w:rPr>
        <w:t xml:space="preserve">. “Hume’s Rejection of the Theory of Ideas.” </w:t>
      </w:r>
      <w:r w:rsidR="00241487" w:rsidRPr="00F31292">
        <w:rPr>
          <w:rFonts w:ascii="Times New Roman" w:hAnsi="Times New Roman" w:cs="Times New Roman"/>
          <w:i/>
          <w:iCs/>
        </w:rPr>
        <w:t>History of Philosophy Quarterly</w:t>
      </w:r>
      <w:r w:rsidR="00241487" w:rsidRPr="00F31292">
        <w:rPr>
          <w:rFonts w:ascii="Times New Roman" w:hAnsi="Times New Roman" w:cs="Times New Roman"/>
        </w:rPr>
        <w:t xml:space="preserve"> 8 (1991): 149</w:t>
      </w:r>
      <w:r>
        <w:rPr>
          <w:rFonts w:ascii="Times New Roman" w:hAnsi="Times New Roman" w:cs="Times New Roman"/>
        </w:rPr>
        <w:t>–</w:t>
      </w:r>
      <w:r w:rsidR="00241487" w:rsidRPr="00F31292">
        <w:rPr>
          <w:rFonts w:ascii="Times New Roman" w:hAnsi="Times New Roman" w:cs="Times New Roman"/>
        </w:rPr>
        <w:t>62.</w:t>
      </w:r>
    </w:p>
    <w:bookmarkEnd w:id="5"/>
    <w:p w14:paraId="22216407" w14:textId="43A7C347" w:rsidR="00BD76F6" w:rsidRPr="00F31292" w:rsidRDefault="00BD76F6" w:rsidP="00681C21">
      <w:pPr>
        <w:pStyle w:val="BodyText"/>
        <w:spacing w:before="0" w:after="0" w:line="276" w:lineRule="auto"/>
        <w:ind w:firstLine="720"/>
        <w:rPr>
          <w:rFonts w:ascii="Times New Roman" w:hAnsi="Times New Roman" w:cs="Times New Roman"/>
        </w:rPr>
      </w:pPr>
    </w:p>
    <w:sectPr w:rsidR="00BD76F6" w:rsidRPr="00F31292" w:rsidSect="009731A0">
      <w:footerReference w:type="even" r:id="rId8"/>
      <w:footerReference w:type="default" r:id="rId9"/>
      <w:endnotePr>
        <w:numFmt w:val="decimal"/>
      </w:endnotePr>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C1BA1E" w14:textId="77777777" w:rsidR="009B3CD5" w:rsidRDefault="009B3CD5">
      <w:pPr>
        <w:spacing w:after="0"/>
      </w:pPr>
      <w:r>
        <w:separator/>
      </w:r>
    </w:p>
  </w:endnote>
  <w:endnote w:type="continuationSeparator" w:id="0">
    <w:p w14:paraId="274BBFCB" w14:textId="77777777" w:rsidR="009B3CD5" w:rsidRDefault="009B3CD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Math">
    <w:panose1 w:val="02040503050406030204"/>
    <w:charset w:val="00"/>
    <w:family w:val="roman"/>
    <w:pitch w:val="variable"/>
    <w:sig w:usb0="E00002FF" w:usb1="420024FF" w:usb2="00000000"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820957944"/>
      <w:docPartObj>
        <w:docPartGallery w:val="Page Numbers (Bottom of Page)"/>
        <w:docPartUnique/>
      </w:docPartObj>
    </w:sdtPr>
    <w:sdtContent>
      <w:p w14:paraId="427E765B" w14:textId="7E993B7B" w:rsidR="007C5A6D" w:rsidRDefault="007C5A6D" w:rsidP="00701FB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647236" w14:textId="77777777" w:rsidR="007C5A6D" w:rsidRDefault="007C5A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800999467"/>
      <w:docPartObj>
        <w:docPartGallery w:val="Page Numbers (Bottom of Page)"/>
        <w:docPartUnique/>
      </w:docPartObj>
    </w:sdtPr>
    <w:sdtEndPr>
      <w:rPr>
        <w:rStyle w:val="PageNumber"/>
        <w:rFonts w:ascii="Garamond" w:hAnsi="Garamond"/>
        <w:sz w:val="21"/>
        <w:szCs w:val="21"/>
      </w:rPr>
    </w:sdtEndPr>
    <w:sdtContent>
      <w:p w14:paraId="62B761E2" w14:textId="4B00F029" w:rsidR="007C5A6D" w:rsidRPr="007C5A6D" w:rsidRDefault="007C5A6D" w:rsidP="00701FB5">
        <w:pPr>
          <w:pStyle w:val="Footer"/>
          <w:framePr w:wrap="none" w:vAnchor="text" w:hAnchor="margin" w:xAlign="center" w:y="1"/>
          <w:rPr>
            <w:rStyle w:val="PageNumber"/>
            <w:rFonts w:ascii="Garamond" w:hAnsi="Garamond"/>
            <w:sz w:val="21"/>
            <w:szCs w:val="21"/>
          </w:rPr>
        </w:pPr>
        <w:r w:rsidRPr="007C5A6D">
          <w:rPr>
            <w:rStyle w:val="PageNumber"/>
            <w:rFonts w:ascii="Garamond" w:hAnsi="Garamond"/>
            <w:sz w:val="21"/>
            <w:szCs w:val="21"/>
          </w:rPr>
          <w:fldChar w:fldCharType="begin"/>
        </w:r>
        <w:r w:rsidRPr="007C5A6D">
          <w:rPr>
            <w:rStyle w:val="PageNumber"/>
            <w:rFonts w:ascii="Garamond" w:hAnsi="Garamond"/>
            <w:sz w:val="21"/>
            <w:szCs w:val="21"/>
          </w:rPr>
          <w:instrText xml:space="preserve"> PAGE </w:instrText>
        </w:r>
        <w:r w:rsidRPr="007C5A6D">
          <w:rPr>
            <w:rStyle w:val="PageNumber"/>
            <w:rFonts w:ascii="Garamond" w:hAnsi="Garamond"/>
            <w:sz w:val="21"/>
            <w:szCs w:val="21"/>
          </w:rPr>
          <w:fldChar w:fldCharType="separate"/>
        </w:r>
        <w:r w:rsidRPr="007C5A6D">
          <w:rPr>
            <w:rStyle w:val="PageNumber"/>
            <w:rFonts w:ascii="Garamond" w:hAnsi="Garamond"/>
            <w:noProof/>
            <w:sz w:val="21"/>
            <w:szCs w:val="21"/>
          </w:rPr>
          <w:t>2</w:t>
        </w:r>
        <w:r w:rsidRPr="007C5A6D">
          <w:rPr>
            <w:rStyle w:val="PageNumber"/>
            <w:rFonts w:ascii="Garamond" w:hAnsi="Garamond"/>
            <w:sz w:val="21"/>
            <w:szCs w:val="21"/>
          </w:rPr>
          <w:fldChar w:fldCharType="end"/>
        </w:r>
      </w:p>
    </w:sdtContent>
  </w:sdt>
  <w:p w14:paraId="2AE30805" w14:textId="77777777" w:rsidR="007C5A6D" w:rsidRPr="007C5A6D" w:rsidRDefault="007C5A6D">
    <w:pPr>
      <w:pStyle w:val="Footer"/>
      <w:rPr>
        <w:rFonts w:ascii="Garamond" w:hAnsi="Garamond"/>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407E1B" w14:textId="77777777" w:rsidR="009B3CD5" w:rsidRDefault="009B3CD5">
      <w:r>
        <w:separator/>
      </w:r>
    </w:p>
  </w:footnote>
  <w:footnote w:type="continuationSeparator" w:id="0">
    <w:p w14:paraId="5E44DC86" w14:textId="77777777" w:rsidR="009B3CD5" w:rsidRDefault="009B3CD5">
      <w:r>
        <w:continuationSeparator/>
      </w:r>
    </w:p>
  </w:footnote>
  <w:footnote w:id="1">
    <w:p w14:paraId="0E85A545" w14:textId="775DA19A"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Citations of Hume’s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 xml:space="preserve"> give the book, part, section, and paragraph number in the Clarendon edition. Citations of the “Introduction” to the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 xml:space="preserve"> give the paragraph number in the same edition.</w:t>
      </w:r>
    </w:p>
  </w:footnote>
  <w:footnote w:id="2">
    <w:p w14:paraId="0195B946" w14:textId="4F89D92D"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Fogelin, </w:t>
      </w:r>
      <w:r w:rsidRPr="00F959A0">
        <w:rPr>
          <w:rFonts w:ascii="Times New Roman" w:hAnsi="Times New Roman" w:cs="Times New Roman"/>
          <w:i/>
          <w:iCs/>
          <w:sz w:val="21"/>
          <w:szCs w:val="21"/>
        </w:rPr>
        <w:t>Hume’s Skepticism</w:t>
      </w:r>
      <w:r w:rsidRPr="00F959A0">
        <w:rPr>
          <w:rFonts w:ascii="Times New Roman" w:hAnsi="Times New Roman" w:cs="Times New Roman"/>
          <w:sz w:val="21"/>
          <w:szCs w:val="21"/>
        </w:rPr>
        <w:t>, 6. For discussion of conceptual skepticism, see Garrett, “‘A Small Tincture,’” 71, and Williams, “Hume’s Skepticism,” 85.</w:t>
      </w:r>
    </w:p>
  </w:footnote>
  <w:footnote w:id="3">
    <w:p w14:paraId="5180CE8B" w14:textId="7CBEEF8C"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Hume follows Bayle in understanding the modern philosophy in this way. Bayle says, “The ‘new’ philosophers, although they are not skeptics, have so well understood the bases of suspension of judgement with regard to sounds, smells, heat, cold, hardness, softness, heaviness and lightness, tastes, colors, and the like, that they teach that all these qualities are perceptions of our soul and that they do not exist at all in the objects of our senses” (</w:t>
      </w:r>
      <w:r w:rsidRPr="00F959A0">
        <w:rPr>
          <w:rFonts w:ascii="Times New Roman" w:hAnsi="Times New Roman" w:cs="Times New Roman"/>
          <w:i/>
          <w:iCs/>
          <w:sz w:val="21"/>
          <w:szCs w:val="21"/>
        </w:rPr>
        <w:t>DHC</w:t>
      </w:r>
      <w:r w:rsidRPr="00F959A0">
        <w:rPr>
          <w:rFonts w:ascii="Times New Roman" w:hAnsi="Times New Roman" w:cs="Times New Roman"/>
          <w:sz w:val="21"/>
          <w:szCs w:val="21"/>
        </w:rPr>
        <w:t xml:space="preserve"> 364–65).</w:t>
      </w:r>
    </w:p>
  </w:footnote>
  <w:footnote w:id="4">
    <w:p w14:paraId="4D9AEF97" w14:textId="1B6FABE3"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The modern philosophy’s positive commitment does not, by itself, entail that either primary qualities or bodies exhibit continued and distinct existence. Because the modern philosophers believe in bodies that possess sensible qualities, their positive commitment leads them to believe in the continued and distinct existence of primary qualities.</w:t>
      </w:r>
    </w:p>
  </w:footnote>
  <w:footnote w:id="5">
    <w:p w14:paraId="0FAD265C" w14:textId="765D6E9B"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Wright, “Academic Skepticism,” 423.</w:t>
      </w:r>
    </w:p>
  </w:footnote>
  <w:footnote w:id="6">
    <w:p w14:paraId="62E23D05" w14:textId="6DE8B15B"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Pitson, “Primary and Secondary Qualities,” 131.</w:t>
      </w:r>
    </w:p>
  </w:footnote>
  <w:footnote w:id="7">
    <w:p w14:paraId="070F2B8B" w14:textId="65AF9926"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Qu, </w:t>
      </w:r>
      <w:r w:rsidRPr="00F959A0">
        <w:rPr>
          <w:rFonts w:ascii="Times New Roman" w:hAnsi="Times New Roman" w:cs="Times New Roman"/>
          <w:i/>
          <w:iCs/>
          <w:sz w:val="21"/>
          <w:szCs w:val="21"/>
        </w:rPr>
        <w:t>Epistemological Evolution</w:t>
      </w:r>
      <w:r w:rsidRPr="00F959A0">
        <w:rPr>
          <w:rFonts w:ascii="Times New Roman" w:hAnsi="Times New Roman" w:cs="Times New Roman"/>
          <w:sz w:val="21"/>
          <w:szCs w:val="21"/>
        </w:rPr>
        <w:t xml:space="preserve">, 115. Fogelin, </w:t>
      </w:r>
      <w:r w:rsidRPr="00F959A0">
        <w:rPr>
          <w:rFonts w:ascii="Times New Roman" w:hAnsi="Times New Roman" w:cs="Times New Roman"/>
          <w:i/>
          <w:iCs/>
          <w:sz w:val="21"/>
          <w:szCs w:val="21"/>
        </w:rPr>
        <w:t>Skeptical Crisis</w:t>
      </w:r>
      <w:r w:rsidRPr="00F959A0">
        <w:rPr>
          <w:rFonts w:ascii="Times New Roman" w:hAnsi="Times New Roman" w:cs="Times New Roman"/>
          <w:sz w:val="21"/>
          <w:szCs w:val="21"/>
        </w:rPr>
        <w:t xml:space="preserve">, 97, calls MP’s skeptical argument an “attack” on the distinction between primary and secondary qualities. Others who endorse at least one thesis of the standard reading include Ainslie, </w:t>
      </w:r>
      <w:r w:rsidRPr="00F959A0">
        <w:rPr>
          <w:rFonts w:ascii="Times New Roman" w:hAnsi="Times New Roman" w:cs="Times New Roman"/>
          <w:i/>
          <w:iCs/>
          <w:sz w:val="21"/>
          <w:szCs w:val="21"/>
        </w:rPr>
        <w:t>True Skepticism</w:t>
      </w:r>
      <w:r w:rsidRPr="00F959A0">
        <w:rPr>
          <w:rFonts w:ascii="Times New Roman" w:hAnsi="Times New Roman" w:cs="Times New Roman"/>
          <w:sz w:val="21"/>
          <w:szCs w:val="21"/>
        </w:rPr>
        <w:t xml:space="preserve">, 198–201; Blackburn, “Mezzanine Level,” 276; Kail, </w:t>
      </w:r>
      <w:r w:rsidRPr="00F959A0">
        <w:rPr>
          <w:rFonts w:ascii="Times New Roman" w:hAnsi="Times New Roman" w:cs="Times New Roman"/>
          <w:i/>
          <w:iCs/>
          <w:sz w:val="21"/>
          <w:szCs w:val="21"/>
        </w:rPr>
        <w:t>Projection and Realism</w:t>
      </w:r>
      <w:r w:rsidRPr="00F959A0">
        <w:rPr>
          <w:rFonts w:ascii="Times New Roman" w:hAnsi="Times New Roman" w:cs="Times New Roman"/>
          <w:sz w:val="21"/>
          <w:szCs w:val="21"/>
        </w:rPr>
        <w:t xml:space="preserve">, 70; Watson, </w:t>
      </w:r>
      <w:r w:rsidRPr="00F959A0">
        <w:rPr>
          <w:rFonts w:ascii="Times New Roman" w:hAnsi="Times New Roman" w:cs="Times New Roman"/>
          <w:i/>
          <w:iCs/>
          <w:sz w:val="21"/>
          <w:szCs w:val="21"/>
        </w:rPr>
        <w:t>Breakdown</w:t>
      </w:r>
      <w:r w:rsidRPr="00F959A0">
        <w:rPr>
          <w:rFonts w:ascii="Times New Roman" w:hAnsi="Times New Roman" w:cs="Times New Roman"/>
          <w:sz w:val="21"/>
          <w:szCs w:val="21"/>
        </w:rPr>
        <w:t xml:space="preserve">, 129; and Winkler, “The Color of Virtue,” 15. Clay, “Incredible Demonstrations,” 58–9, says that MP offers an “argument against the primary/secondary quality distinction,” although he also claims neutrality regarding Hume’s attitude towards the modern philosophy’s negative commitment. Fisette, “Lockean Metaphysics,” 122, argues for a variant of the standard view, holding that MP rejects Locke’s “metaphysical interpretation” of the distinction between primary and secondary qualities. Garrett, </w:t>
      </w:r>
      <w:r w:rsidRPr="00F959A0">
        <w:rPr>
          <w:rFonts w:ascii="Times New Roman" w:hAnsi="Times New Roman" w:cs="Times New Roman"/>
          <w:i/>
          <w:iCs/>
          <w:sz w:val="21"/>
          <w:szCs w:val="21"/>
        </w:rPr>
        <w:t>Cognition and Commitment</w:t>
      </w:r>
      <w:r w:rsidRPr="00F959A0">
        <w:rPr>
          <w:rFonts w:ascii="Times New Roman" w:hAnsi="Times New Roman" w:cs="Times New Roman"/>
          <w:sz w:val="21"/>
          <w:szCs w:val="21"/>
        </w:rPr>
        <w:t xml:space="preserve">, 215, claims that the aim of MP is to “deflate” the modern philosophy’s pretension to be “superior in consistency” to the system of the external world constitutive of the ancient philosophy, although he leaves open the possibility that the section has other aims. The standard reading does not deny that Hume goes on to use the results of MP to generate the “manifest contradiction” of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1.4.7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1.4.7.4). My interpretation resembles one stated but not developed by Broughton, “The Inquiry,” 545–6, according to whom Hume both endorses the distinction between primary and secondary qualities and holds that this distinction entails that we cannot “coherently conceive of physical objects.”</w:t>
      </w:r>
    </w:p>
  </w:footnote>
  <w:footnote w:id="8">
    <w:p w14:paraId="44B2BD60" w14:textId="667AB0A5"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Locke initially implies that the distinction between primary and secondary qualities is the distinction between qualities that are inseparable from body and those which are not (</w:t>
      </w:r>
      <w:r w:rsidRPr="00F959A0">
        <w:rPr>
          <w:rFonts w:ascii="Times New Roman" w:hAnsi="Times New Roman" w:cs="Times New Roman"/>
          <w:i/>
          <w:iCs/>
          <w:sz w:val="21"/>
          <w:szCs w:val="21"/>
        </w:rPr>
        <w:t>E</w:t>
      </w:r>
      <w:r w:rsidRPr="00F959A0">
        <w:rPr>
          <w:rFonts w:ascii="Times New Roman" w:hAnsi="Times New Roman" w:cs="Times New Roman"/>
          <w:sz w:val="21"/>
          <w:szCs w:val="21"/>
        </w:rPr>
        <w:t xml:space="preserve"> II.viii.9–10). Citations of the </w:t>
      </w:r>
      <w:r w:rsidRPr="00F959A0">
        <w:rPr>
          <w:rFonts w:ascii="Times New Roman" w:hAnsi="Times New Roman" w:cs="Times New Roman"/>
          <w:i/>
          <w:iCs/>
          <w:sz w:val="21"/>
          <w:szCs w:val="21"/>
        </w:rPr>
        <w:t>Essay</w:t>
      </w:r>
      <w:r w:rsidRPr="00F959A0">
        <w:rPr>
          <w:rFonts w:ascii="Times New Roman" w:hAnsi="Times New Roman" w:cs="Times New Roman"/>
          <w:sz w:val="21"/>
          <w:szCs w:val="21"/>
        </w:rPr>
        <w:t xml:space="preserve"> give the book, chapter, and section numbers in the Nidditch edition.</w:t>
      </w:r>
    </w:p>
  </w:footnote>
  <w:footnote w:id="9">
    <w:p w14:paraId="7EFCEADD" w14:textId="3F0577A5"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In a 1737 letter to Michael Ramsey, Hume tells Ramsey that he should read “the more metaphysical Articles of Bailes Dictionary,” including “Zeno of Elea,” in order to “easily comprehend the metaphysical Parts of my Reasoning” (Popkin, “So, Hume Did Read Berkeley,” 775). </w:t>
      </w:r>
    </w:p>
  </w:footnote>
  <w:footnote w:id="10">
    <w:p w14:paraId="1817F59A" w14:textId="48AA222B"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A similar argument occurs in Bayle’s “Pyhrro:” “if the objects of our senses appear colored, hot, cold, odoriferous, and yet they are not so, why can they not appear extended and shaped, in rest and in motion, though they are not so?” (</w:t>
      </w:r>
      <w:r w:rsidRPr="00F959A0">
        <w:rPr>
          <w:rFonts w:ascii="Times New Roman" w:hAnsi="Times New Roman" w:cs="Times New Roman"/>
          <w:i/>
          <w:iCs/>
          <w:sz w:val="21"/>
          <w:szCs w:val="21"/>
        </w:rPr>
        <w:t>DHC</w:t>
      </w:r>
      <w:r w:rsidRPr="00F959A0">
        <w:rPr>
          <w:rFonts w:ascii="Times New Roman" w:hAnsi="Times New Roman" w:cs="Times New Roman"/>
          <w:sz w:val="21"/>
          <w:szCs w:val="21"/>
        </w:rPr>
        <w:t xml:space="preserve"> 197). Bayle’s use of the terms “entity” and “object of the senses” rather than “body” in these passages is deliberate. Cartesianism maintains that body just is extension; it is analytic that body cannot lack extension. For Cartesians, Bayle’s conclusion in these passages amounts to the claim that it is possible that the objects of perceptual experience, which we take to be bodies, are not extended and, hence, are not bodies.</w:t>
      </w:r>
    </w:p>
  </w:footnote>
  <w:footnote w:id="11">
    <w:p w14:paraId="2AA5A9D7" w14:textId="0B14B4B1"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Berkeley, like Foucher and Bayle, portrays the primary/secondary distinction as holding that secondary qualities are mere perceptions. This seems to mischaracterize the distinction, insofar as authors such as Locke identify secondary qualities with powers of bodies. I defend Hume from a version of this objection in §3. </w:t>
      </w:r>
    </w:p>
  </w:footnote>
  <w:footnote w:id="12">
    <w:p w14:paraId="00E6827F" w14:textId="07F6E87F"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Holden, “Inconceivability and Impossibility,” 107.</w:t>
      </w:r>
    </w:p>
  </w:footnote>
  <w:footnote w:id="13">
    <w:p w14:paraId="6A35D3BC" w14:textId="264209C2"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Holden, “Inconceivability and Impossibility,” 119, holds that Berkeley’s argument appeals not to the principle that inconceivability implies impossibility but rather to the principle that inconsistency implies impossibility. Winkler,</w:t>
      </w:r>
      <w:r w:rsidRPr="00F959A0">
        <w:rPr>
          <w:rFonts w:ascii="Times New Roman" w:hAnsi="Times New Roman" w:cs="Times New Roman"/>
          <w:i/>
          <w:iCs/>
          <w:sz w:val="21"/>
          <w:szCs w:val="21"/>
        </w:rPr>
        <w:t xml:space="preserve"> Berkeley</w:t>
      </w:r>
      <w:r w:rsidRPr="00F959A0">
        <w:rPr>
          <w:rFonts w:ascii="Times New Roman" w:hAnsi="Times New Roman" w:cs="Times New Roman"/>
          <w:sz w:val="21"/>
          <w:szCs w:val="21"/>
        </w:rPr>
        <w:t>, 33, reads the argument as relying on the principle that inconceivability entails impossibility.</w:t>
      </w:r>
    </w:p>
  </w:footnote>
  <w:footnote w:id="14">
    <w:p w14:paraId="2E08B561" w14:textId="0AFD00D6"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For detailed discussion of Hume’s arguments in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1.2, see Baxter, “Space and Time;” Frasca-Spada, </w:t>
      </w:r>
      <w:r w:rsidRPr="00F959A0">
        <w:rPr>
          <w:rFonts w:ascii="Times New Roman" w:hAnsi="Times New Roman" w:cs="Times New Roman"/>
          <w:i/>
          <w:iCs/>
          <w:sz w:val="21"/>
          <w:szCs w:val="21"/>
        </w:rPr>
        <w:t>Space and the Self</w:t>
      </w:r>
      <w:r w:rsidRPr="00F959A0">
        <w:rPr>
          <w:rFonts w:ascii="Times New Roman" w:hAnsi="Times New Roman" w:cs="Times New Roman"/>
          <w:sz w:val="21"/>
          <w:szCs w:val="21"/>
        </w:rPr>
        <w:t xml:space="preserve">; and Holden, </w:t>
      </w:r>
      <w:r w:rsidRPr="00F959A0">
        <w:rPr>
          <w:rFonts w:ascii="Times New Roman" w:hAnsi="Times New Roman" w:cs="Times New Roman"/>
          <w:i/>
          <w:iCs/>
          <w:sz w:val="21"/>
          <w:szCs w:val="21"/>
        </w:rPr>
        <w:t>The Architecture of Matter</w:t>
      </w:r>
      <w:r w:rsidRPr="00F959A0">
        <w:rPr>
          <w:rFonts w:ascii="Times New Roman" w:hAnsi="Times New Roman" w:cs="Times New Roman"/>
          <w:sz w:val="21"/>
          <w:szCs w:val="21"/>
        </w:rPr>
        <w:t>.</w:t>
      </w:r>
    </w:p>
  </w:footnote>
  <w:footnote w:id="15">
    <w:p w14:paraId="1A384FE0" w14:textId="08838F19" w:rsidR="00F959A0" w:rsidRPr="00F959A0" w:rsidRDefault="00F959A0" w:rsidP="00F959A0">
      <w:pPr>
        <w:pStyle w:val="FootnoteText"/>
        <w:spacing w:after="0" w:line="276" w:lineRule="auto"/>
        <w:jc w:val="both"/>
        <w:rPr>
          <w:rFonts w:ascii="Times New Roman" w:hAnsi="Times New Roman" w:cs="Times New Roman"/>
          <w:i/>
          <w:iCs/>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Hume’s response to Bayle’s trilemma anticipates Lewis’s Humean mosaic, which is constituted by “perfectly natural intrinsic properties which need nothing bigger than a point at which to be instantiated” (Lewis, “Introduction,” x). </w:t>
      </w:r>
    </w:p>
  </w:footnote>
  <w:footnote w:id="16">
    <w:p w14:paraId="17CA578C" w14:textId="3205372E"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Winkler, “Sensible Qualities,” 266.</w:t>
      </w:r>
    </w:p>
  </w:footnote>
  <w:footnote w:id="17">
    <w:p w14:paraId="1F231B2A" w14:textId="0D22A64C"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Hakkarainen, “Primary and Secondary Qualities,” 238, takes the negative commitment of the modern philosophy to hold that all </w:t>
      </w:r>
      <w:r w:rsidRPr="00F959A0">
        <w:rPr>
          <w:rFonts w:ascii="Times New Roman" w:hAnsi="Times New Roman" w:cs="Times New Roman"/>
          <w:i/>
          <w:iCs/>
          <w:sz w:val="21"/>
          <w:szCs w:val="21"/>
        </w:rPr>
        <w:t>proper sensibles</w:t>
      </w:r>
      <w:r w:rsidRPr="00F959A0">
        <w:rPr>
          <w:rFonts w:ascii="Times New Roman" w:hAnsi="Times New Roman" w:cs="Times New Roman"/>
          <w:sz w:val="21"/>
          <w:szCs w:val="21"/>
        </w:rPr>
        <w:t xml:space="preserve"> are sensory impressions, not properties of bodies, where a proper sensible is a sensible quality exclusive to an individual sense. Artistotle’s </w:t>
      </w:r>
      <w:r w:rsidRPr="00F959A0">
        <w:rPr>
          <w:rFonts w:ascii="Times New Roman" w:hAnsi="Times New Roman" w:cs="Times New Roman"/>
          <w:i/>
          <w:iCs/>
          <w:sz w:val="21"/>
          <w:szCs w:val="21"/>
        </w:rPr>
        <w:t>De Anima</w:t>
      </w:r>
      <w:r w:rsidRPr="00F959A0">
        <w:rPr>
          <w:rFonts w:ascii="Times New Roman" w:hAnsi="Times New Roman" w:cs="Times New Roman"/>
          <w:sz w:val="21"/>
          <w:szCs w:val="21"/>
        </w:rPr>
        <w:t xml:space="preserve"> II.6 is the locus classicus of this notion. A problem for this interpretation concerns the quality of solidity. Hume follows Locke in holding that solidity is a proper sensible of touch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1.2.3.15, 1.2.5.13, 1.2.5.16, 1.2.5.1). Thus, according to Hakkarainen’s interpretation, the negative commitment entails that solidity is identical with sensory impressions and is not a property of bodies. But Hume’s argument in the second phase of MP presupposes that solidity is not among the qualities shown by the causal argument of the first phase to be identical with perceptions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1.4.4.6–9).</w:t>
      </w:r>
    </w:p>
  </w:footnote>
  <w:footnote w:id="18">
    <w:p w14:paraId="16690EF3" w14:textId="346494B6"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Citations of Berkeley’s </w:t>
      </w:r>
      <w:r w:rsidRPr="00F959A0">
        <w:rPr>
          <w:rFonts w:ascii="Times New Roman" w:hAnsi="Times New Roman" w:cs="Times New Roman"/>
          <w:i/>
          <w:iCs/>
          <w:sz w:val="21"/>
          <w:szCs w:val="21"/>
        </w:rPr>
        <w:t>Principles</w:t>
      </w:r>
      <w:r w:rsidRPr="00F959A0">
        <w:rPr>
          <w:rFonts w:ascii="Times New Roman" w:hAnsi="Times New Roman" w:cs="Times New Roman"/>
          <w:sz w:val="21"/>
          <w:szCs w:val="21"/>
        </w:rPr>
        <w:t xml:space="preserve"> give the section number in the Luce and Jessop edition.</w:t>
      </w:r>
    </w:p>
  </w:footnote>
  <w:footnote w:id="19">
    <w:p w14:paraId="344CA451" w14:textId="746B7F3D"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Loeb, </w:t>
      </w:r>
      <w:r w:rsidRPr="00F959A0">
        <w:rPr>
          <w:rFonts w:ascii="Times New Roman" w:hAnsi="Times New Roman" w:cs="Times New Roman"/>
          <w:i/>
          <w:iCs/>
          <w:sz w:val="21"/>
          <w:szCs w:val="21"/>
        </w:rPr>
        <w:t>Stability and Justification</w:t>
      </w:r>
      <w:r w:rsidRPr="00F959A0">
        <w:rPr>
          <w:rFonts w:ascii="Times New Roman" w:hAnsi="Times New Roman" w:cs="Times New Roman"/>
          <w:sz w:val="21"/>
          <w:szCs w:val="21"/>
        </w:rPr>
        <w:t>, 222, describes the argument as “far from just and regular.” Winkler, “Sensible Qualities,” 253, says that the application of Rule 4 is “very crude.” Butler, “Hume’s Supposed Rejection,” offers a more sympathetic approach to the argument.</w:t>
      </w:r>
    </w:p>
  </w:footnote>
  <w:footnote w:id="20">
    <w:p w14:paraId="463F6B97" w14:textId="3CEBEE8F"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Hume says just before the passage quoted, “Vice and virtue, therefore, may be compar’d to sounds, colours, heat and cold, which, according to modern philosophy, are not qualities in objects, but perceptions in the mind”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3.1.1.26). One might understand Hume’s inclusion of “according to the modern philosophy” as an attempt to distance himself from the primary/secondary distinction. But this inclusion is simply a reminder to the reader that the distinction is endorsed by his contemporaries. Similarly, in the first </w:t>
      </w:r>
      <w:r w:rsidRPr="00F959A0">
        <w:rPr>
          <w:rFonts w:ascii="Times New Roman" w:hAnsi="Times New Roman" w:cs="Times New Roman"/>
          <w:i/>
          <w:iCs/>
          <w:sz w:val="21"/>
          <w:szCs w:val="21"/>
        </w:rPr>
        <w:t>Enquiry</w:t>
      </w:r>
      <w:r w:rsidRPr="00F959A0">
        <w:rPr>
          <w:rFonts w:ascii="Times New Roman" w:hAnsi="Times New Roman" w:cs="Times New Roman"/>
          <w:sz w:val="21"/>
          <w:szCs w:val="21"/>
        </w:rPr>
        <w:t>, Hume says that section 12’s argument concerning the primary/secondary distinction “represents [the belief in body] as contrary to reason: at least, if it be a principle of reason, that all sensible qualities are in the mind, not in the object” (</w:t>
      </w:r>
      <w:r w:rsidRPr="00F959A0">
        <w:rPr>
          <w:rFonts w:ascii="Times New Roman" w:hAnsi="Times New Roman" w:cs="Times New Roman"/>
          <w:i/>
          <w:iCs/>
          <w:sz w:val="21"/>
          <w:szCs w:val="21"/>
        </w:rPr>
        <w:t>EU</w:t>
      </w:r>
      <w:r w:rsidRPr="00F959A0">
        <w:rPr>
          <w:rFonts w:ascii="Times New Roman" w:hAnsi="Times New Roman" w:cs="Times New Roman"/>
          <w:sz w:val="21"/>
          <w:szCs w:val="21"/>
        </w:rPr>
        <w:t xml:space="preserve"> 12.16.) Kail, </w:t>
      </w:r>
      <w:r w:rsidRPr="00F959A0">
        <w:rPr>
          <w:rFonts w:ascii="Times New Roman" w:hAnsi="Times New Roman" w:cs="Times New Roman"/>
          <w:i/>
          <w:iCs/>
          <w:sz w:val="21"/>
          <w:szCs w:val="21"/>
        </w:rPr>
        <w:t>Projection and Realism</w:t>
      </w:r>
      <w:r w:rsidRPr="00F959A0">
        <w:rPr>
          <w:rFonts w:ascii="Times New Roman" w:hAnsi="Times New Roman" w:cs="Times New Roman"/>
          <w:sz w:val="21"/>
          <w:szCs w:val="21"/>
        </w:rPr>
        <w:t xml:space="preserve">, 70, takes Hume to be “insinuating that there is something dubious here.” But Hume includes the qualification simply because the </w:t>
      </w:r>
      <w:r w:rsidRPr="00F959A0">
        <w:rPr>
          <w:rFonts w:ascii="Times New Roman" w:hAnsi="Times New Roman" w:cs="Times New Roman"/>
          <w:i/>
          <w:iCs/>
          <w:sz w:val="21"/>
          <w:szCs w:val="21"/>
        </w:rPr>
        <w:t>Enquiry</w:t>
      </w:r>
      <w:r w:rsidRPr="00F959A0">
        <w:rPr>
          <w:rFonts w:ascii="Times New Roman" w:hAnsi="Times New Roman" w:cs="Times New Roman"/>
          <w:sz w:val="21"/>
          <w:szCs w:val="21"/>
        </w:rPr>
        <w:t xml:space="preserve"> does not establish that the negative commitment is a “principle of reason;” that work offers no argument corresponding the causal argument of MP. Citations of the first </w:t>
      </w:r>
      <w:r w:rsidRPr="00F959A0">
        <w:rPr>
          <w:rFonts w:ascii="Times New Roman" w:hAnsi="Times New Roman" w:cs="Times New Roman"/>
          <w:i/>
          <w:iCs/>
          <w:sz w:val="21"/>
          <w:szCs w:val="21"/>
        </w:rPr>
        <w:t>Enquiry</w:t>
      </w:r>
      <w:r w:rsidRPr="00F959A0">
        <w:rPr>
          <w:rFonts w:ascii="Times New Roman" w:hAnsi="Times New Roman" w:cs="Times New Roman"/>
          <w:sz w:val="21"/>
          <w:szCs w:val="21"/>
        </w:rPr>
        <w:t xml:space="preserve"> give the section and paragraph numbers from the Clarendon edition.</w:t>
      </w:r>
    </w:p>
  </w:footnote>
  <w:footnote w:id="21">
    <w:p w14:paraId="6CDC8D9E" w14:textId="65D8AE6D"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Citations of “Letter from a Gentleman” give the paragraph number in the Clarendon edition of the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w:t>
      </w:r>
    </w:p>
  </w:footnote>
  <w:footnote w:id="22">
    <w:p w14:paraId="56876F34" w14:textId="5AFD4FFA"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Wood, “David Hume on Thomas Reid,” 416, emphasis added.</w:t>
      </w:r>
    </w:p>
  </w:footnote>
  <w:footnote w:id="23">
    <w:p w14:paraId="0A0F47DD" w14:textId="3CB2F8B7"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“The Sceptic” is written in the voice of a character some of whose views Hume may not endorse. That there are similar endorsements of the negative commitment found in Hume’s later philosophical writings suggests that this passage from the “The Sceptic” does represent Hume’s considered view. For example, a footnote included in the 1748 and 1750 editions of the first </w:t>
      </w:r>
      <w:r w:rsidRPr="00F959A0">
        <w:rPr>
          <w:rFonts w:ascii="Times New Roman" w:hAnsi="Times New Roman" w:cs="Times New Roman"/>
          <w:i/>
          <w:iCs/>
          <w:sz w:val="21"/>
          <w:szCs w:val="21"/>
        </w:rPr>
        <w:t>Enquiry</w:t>
      </w:r>
      <w:r w:rsidRPr="00F959A0">
        <w:rPr>
          <w:rFonts w:ascii="Times New Roman" w:hAnsi="Times New Roman" w:cs="Times New Roman"/>
          <w:sz w:val="21"/>
          <w:szCs w:val="21"/>
        </w:rPr>
        <w:t xml:space="preserve"> also endorses the distinction: “But a late Philosopher [Hutcheson] has taught us, by the most convincing Arguments, that Morality is nothing in the abstract Nature of Things, but is entirely relative to the Sentiment or mental Taste of each particular Being; in the same Manner as the Distinctions of sweet and bitter, hot and cold, arise from the particular Feeling of each Sense or Organ” (</w:t>
      </w:r>
      <w:r w:rsidRPr="00F959A0">
        <w:rPr>
          <w:rFonts w:ascii="Times New Roman" w:hAnsi="Times New Roman" w:cs="Times New Roman"/>
          <w:i/>
          <w:iCs/>
          <w:sz w:val="21"/>
          <w:szCs w:val="21"/>
        </w:rPr>
        <w:t>EU</w:t>
      </w:r>
      <w:r w:rsidRPr="00F959A0">
        <w:rPr>
          <w:rFonts w:ascii="Times New Roman" w:hAnsi="Times New Roman" w:cs="Times New Roman"/>
          <w:sz w:val="21"/>
          <w:szCs w:val="21"/>
        </w:rPr>
        <w:t>, 232).</w:t>
      </w:r>
    </w:p>
  </w:footnote>
  <w:footnote w:id="24">
    <w:p w14:paraId="0744B21F" w14:textId="1C933CD2"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Blackburn, “Mezzanine Level,” 276, says that MP voices Hume’s “distaste for any primary/secondary quality distinction.” See also Ainslie, </w:t>
      </w:r>
      <w:r w:rsidRPr="00F959A0">
        <w:rPr>
          <w:rFonts w:ascii="Times New Roman" w:hAnsi="Times New Roman" w:cs="Times New Roman"/>
          <w:i/>
          <w:iCs/>
          <w:sz w:val="21"/>
          <w:szCs w:val="21"/>
        </w:rPr>
        <w:t>True Skepticism</w:t>
      </w:r>
      <w:r w:rsidRPr="00F959A0">
        <w:rPr>
          <w:rFonts w:ascii="Times New Roman" w:hAnsi="Times New Roman" w:cs="Times New Roman"/>
          <w:sz w:val="21"/>
          <w:szCs w:val="21"/>
        </w:rPr>
        <w:t xml:space="preserve">, 201; Fisette, “Lockean Metaphysics,” 113; Fogelin, </w:t>
      </w:r>
      <w:r w:rsidRPr="00F959A0">
        <w:rPr>
          <w:rFonts w:ascii="Times New Roman" w:hAnsi="Times New Roman" w:cs="Times New Roman"/>
          <w:i/>
          <w:iCs/>
          <w:sz w:val="21"/>
          <w:szCs w:val="21"/>
        </w:rPr>
        <w:t>Hume’s Skepticism</w:t>
      </w:r>
      <w:r w:rsidRPr="00F959A0">
        <w:rPr>
          <w:rFonts w:ascii="Times New Roman" w:hAnsi="Times New Roman" w:cs="Times New Roman"/>
          <w:sz w:val="21"/>
          <w:szCs w:val="21"/>
        </w:rPr>
        <w:t xml:space="preserve">, 90; and Pitson, “Primary and Secondary Qualities,” 130–31. Garrett, </w:t>
      </w:r>
      <w:r w:rsidRPr="00F959A0">
        <w:rPr>
          <w:rFonts w:ascii="Times New Roman" w:hAnsi="Times New Roman" w:cs="Times New Roman"/>
          <w:i/>
          <w:iCs/>
          <w:sz w:val="21"/>
          <w:szCs w:val="21"/>
        </w:rPr>
        <w:t>Cognition and Commitment</w:t>
      </w:r>
      <w:r w:rsidRPr="00F959A0">
        <w:rPr>
          <w:rFonts w:ascii="Times New Roman" w:hAnsi="Times New Roman" w:cs="Times New Roman"/>
          <w:sz w:val="21"/>
          <w:szCs w:val="21"/>
        </w:rPr>
        <w:t xml:space="preserve">, 218, writes that “Hume himself . . . does not ever assert the </w:t>
      </w:r>
      <w:r w:rsidRPr="00F959A0">
        <w:rPr>
          <w:rFonts w:ascii="Times New Roman" w:hAnsi="Times New Roman" w:cs="Times New Roman"/>
          <w:i/>
          <w:iCs/>
          <w:sz w:val="21"/>
          <w:szCs w:val="21"/>
        </w:rPr>
        <w:t>truth</w:t>
      </w:r>
      <w:r w:rsidRPr="00F959A0">
        <w:rPr>
          <w:rFonts w:ascii="Times New Roman" w:hAnsi="Times New Roman" w:cs="Times New Roman"/>
          <w:sz w:val="21"/>
          <w:szCs w:val="21"/>
        </w:rPr>
        <w:t xml:space="preserve"> of the modern philosophers’ conclusion about the unreality of secondary qualities.” While strictly true, this assessment does not do justice to Hume’s praise of the causal argument and his endorsements of the negative commitment in later works.</w:t>
      </w:r>
    </w:p>
  </w:footnote>
  <w:footnote w:id="25">
    <w:p w14:paraId="3B507BD2" w14:textId="1D32BC10"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Sturgeon, “Moral Skepticism and Moral Naturalism,” 15.</w:t>
      </w:r>
    </w:p>
  </w:footnote>
  <w:footnote w:id="26">
    <w:p w14:paraId="19AAED5A" w14:textId="53381DA2"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Elsewhere, Boyle, </w:t>
      </w:r>
      <w:r w:rsidRPr="00F959A0">
        <w:rPr>
          <w:rFonts w:ascii="Times New Roman" w:hAnsi="Times New Roman" w:cs="Times New Roman"/>
          <w:i/>
          <w:iCs/>
          <w:sz w:val="21"/>
          <w:szCs w:val="21"/>
        </w:rPr>
        <w:t>Origine of Formes and Qualities</w:t>
      </w:r>
      <w:r w:rsidRPr="00F959A0">
        <w:rPr>
          <w:rFonts w:ascii="Times New Roman" w:hAnsi="Times New Roman" w:cs="Times New Roman"/>
          <w:sz w:val="21"/>
          <w:szCs w:val="21"/>
        </w:rPr>
        <w:t xml:space="preserve">, 321, uses ‘Heat’ to signify a sensation rather than the power that produces it. </w:t>
      </w:r>
    </w:p>
  </w:footnote>
  <w:footnote w:id="27">
    <w:p w14:paraId="5D21A0B3" w14:textId="65A53FC2"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Kail, </w:t>
      </w:r>
      <w:r w:rsidRPr="00F959A0">
        <w:rPr>
          <w:rFonts w:ascii="Times New Roman" w:hAnsi="Times New Roman" w:cs="Times New Roman"/>
          <w:i/>
          <w:iCs/>
          <w:sz w:val="21"/>
          <w:szCs w:val="21"/>
        </w:rPr>
        <w:t>Projection and Realism</w:t>
      </w:r>
      <w:r w:rsidRPr="00F959A0">
        <w:rPr>
          <w:rFonts w:ascii="Times New Roman" w:hAnsi="Times New Roman" w:cs="Times New Roman"/>
          <w:sz w:val="21"/>
          <w:szCs w:val="21"/>
        </w:rPr>
        <w:t>, 153, identifies Malebranche as a source of Hume’s non-Lockean understanding of the primary/secondary distinction. In the 1762 letter to Blair, Hume writes that the principle that secondary qualities are not “really in the Bodies” is accepted by “Malebranche &amp; Locke” (Wood, “David Hume on Thomas Reid,” 416). This suggests that he sees no important difference between Locke’s and Malebranche’s versions of the distinction.</w:t>
      </w:r>
    </w:p>
  </w:footnote>
  <w:footnote w:id="28">
    <w:p w14:paraId="4D6042CD" w14:textId="310BBF97"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Russell, “Hume’s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 102, argues that Hume was familiar with the Clarke-Collins correspondence.</w:t>
      </w:r>
    </w:p>
  </w:footnote>
  <w:footnote w:id="29">
    <w:p w14:paraId="374BD66B" w14:textId="6778BD8D"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Fisette, “Lockean Metaphysics,” 113, writes that Hume, despite accepting the negative commitment, “place[s] some critical distance between himself” and the positive commitment.  Likewise, Haakarainen, “Why Hume,” 148, says that the modern philosophy’s commitments are “logically independent.”</w:t>
      </w:r>
    </w:p>
  </w:footnote>
  <w:footnote w:id="30">
    <w:p w14:paraId="00EF99A7" w14:textId="1E0CA950"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Bracken, “On Some Points,” 440, holds that the argument’s conclusion is primarily epistemological, glossing Hume’s claim that the primary/secondary distinction leaves us with no “satisfactory idea” of matter as the claim that “we cannot turn to sense impressions supposedly caused by either primary or secondary qualities to provide evidence for our belief in the continued and independent existence of objects.” Allison, </w:t>
      </w:r>
      <w:r w:rsidRPr="00F959A0">
        <w:rPr>
          <w:rFonts w:ascii="Times New Roman" w:hAnsi="Times New Roman" w:cs="Times New Roman"/>
          <w:i/>
          <w:iCs/>
          <w:sz w:val="21"/>
          <w:szCs w:val="21"/>
        </w:rPr>
        <w:t>Custom and Reason</w:t>
      </w:r>
      <w:r w:rsidRPr="00F959A0">
        <w:rPr>
          <w:rFonts w:ascii="Times New Roman" w:hAnsi="Times New Roman" w:cs="Times New Roman"/>
          <w:sz w:val="21"/>
          <w:szCs w:val="21"/>
        </w:rPr>
        <w:t xml:space="preserve">, 268, takes MP to establish the metaphysical claim that primary qualities cannot exist apart secondary qualities. Similarly, Loeb, </w:t>
      </w:r>
      <w:r w:rsidRPr="00F959A0">
        <w:rPr>
          <w:rFonts w:ascii="Times New Roman" w:hAnsi="Times New Roman" w:cs="Times New Roman"/>
          <w:i/>
          <w:iCs/>
          <w:sz w:val="21"/>
          <w:szCs w:val="21"/>
        </w:rPr>
        <w:t>Stability and Justification</w:t>
      </w:r>
      <w:r w:rsidRPr="00F959A0">
        <w:rPr>
          <w:rFonts w:ascii="Times New Roman" w:hAnsi="Times New Roman" w:cs="Times New Roman"/>
          <w:sz w:val="21"/>
          <w:szCs w:val="21"/>
        </w:rPr>
        <w:t>, 219, holds that MP argues against the existence of primary qualities. I discuss these readings below.</w:t>
      </w:r>
    </w:p>
  </w:footnote>
  <w:footnote w:id="31">
    <w:p w14:paraId="2933A371" w14:textId="306962D2"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This relation does not appear in the taxonomy of relations provided in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1.1.5, “Of relations,” according to which there are seven (philosophical) relations: resemblance, identity, relations of space and time, relations of quantity, relations of quality, contrariety, and causal relations. Hume may hold that conceptual dependance is reducible to a subset of these. He appeals to relations of conceptual dependence elsewhere in the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 In his discussion of free will, he claims that necessity “makes an essential part” of the concept of cause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2.3.2.4). In the introduction of his search for the idea of necessary connection, he argues that the idea of causation is “deriv’d from” the relations of contiguity and priority; these are “essential” to causation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1.3.2.6–7). His claim is that causation is conceptually dependent on contiguity and priority. Further, in “Of the obligation of promises,” he argues that “</w:t>
      </w:r>
      <w:r w:rsidRPr="00F959A0">
        <w:rPr>
          <w:rFonts w:ascii="Times New Roman" w:hAnsi="Times New Roman" w:cs="Times New Roman"/>
          <w:i/>
          <w:iCs/>
          <w:sz w:val="21"/>
          <w:szCs w:val="21"/>
        </w:rPr>
        <w:t>a promise wou'd not be intelligible, before human conventions had establish'd it</w:t>
      </w:r>
      <w:r w:rsidRPr="00F959A0">
        <w:rPr>
          <w:rFonts w:ascii="Times New Roman" w:hAnsi="Times New Roman" w:cs="Times New Roman"/>
          <w:sz w:val="21"/>
          <w:szCs w:val="21"/>
        </w:rPr>
        <w:t>”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3.2.5.1). That the practice of promising depends for its intelligibility on convention implies that the former conceptually depends on the latter; like solidity, promising is “perfectly incomprehensible alone”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1.4.4.9).</w:t>
      </w:r>
    </w:p>
  </w:footnote>
  <w:footnote w:id="32">
    <w:p w14:paraId="431B6F4A" w14:textId="79CBFE0C"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Hume does not make explicit his understanding of what it is for an idea to be incoherent (or “contradictory” and “inconsistent”). It might be understood in terms of what he calls a “repugnance:” what it is for an idea to be incoherent is for it to include ideas between which a repugnance obtains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1.4.5.20–21). At least some instances of repugnance might, in turn, be understood in terms of contrariety, which is included in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1.1.5’s taxonomy of relations. </w:t>
      </w:r>
    </w:p>
  </w:footnote>
  <w:footnote w:id="33">
    <w:p w14:paraId="02E653B8" w14:textId="66C8196F"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Hakkarainen, “Why Hume,” 149, cites this passage in support of the claim that neither “in the </w:t>
      </w:r>
      <w:r w:rsidRPr="00F959A0">
        <w:rPr>
          <w:rFonts w:ascii="Times New Roman" w:hAnsi="Times New Roman" w:cs="Times New Roman"/>
          <w:i/>
          <w:iCs/>
          <w:sz w:val="21"/>
          <w:szCs w:val="21"/>
        </w:rPr>
        <w:t>Enquiry</w:t>
      </w:r>
      <w:r w:rsidRPr="00F959A0">
        <w:rPr>
          <w:rFonts w:ascii="Times New Roman" w:hAnsi="Times New Roman" w:cs="Times New Roman"/>
          <w:sz w:val="21"/>
          <w:szCs w:val="21"/>
        </w:rPr>
        <w:t xml:space="preserve"> nor in the </w:t>
      </w:r>
      <w:r w:rsidRPr="00F959A0">
        <w:rPr>
          <w:rFonts w:ascii="Times New Roman" w:hAnsi="Times New Roman" w:cs="Times New Roman"/>
          <w:i/>
          <w:iCs/>
          <w:sz w:val="21"/>
          <w:szCs w:val="21"/>
        </w:rPr>
        <w:t>Treatise</w:t>
      </w:r>
      <w:r w:rsidRPr="00F959A0">
        <w:rPr>
          <w:rFonts w:ascii="Times New Roman" w:hAnsi="Times New Roman" w:cs="Times New Roman"/>
          <w:sz w:val="21"/>
          <w:szCs w:val="21"/>
        </w:rPr>
        <w:t xml:space="preserve"> version of the second profound argument does Hume say that the notion of Body involves a contradiction.” Garrett, </w:t>
      </w:r>
      <w:r w:rsidRPr="00F959A0">
        <w:rPr>
          <w:rFonts w:ascii="Times New Roman" w:hAnsi="Times New Roman" w:cs="Times New Roman"/>
          <w:i/>
          <w:iCs/>
          <w:sz w:val="21"/>
          <w:szCs w:val="21"/>
        </w:rPr>
        <w:t>Cognition and Commitment</w:t>
      </w:r>
      <w:r w:rsidRPr="00F959A0">
        <w:rPr>
          <w:rFonts w:ascii="Times New Roman" w:hAnsi="Times New Roman" w:cs="Times New Roman"/>
          <w:sz w:val="21"/>
          <w:szCs w:val="21"/>
        </w:rPr>
        <w:t>, 218, proposes a reading of this passage according to which it does not imply that there is a contradiction within the idea of body</w:t>
      </w:r>
      <m:oMath>
        <m:sSub>
          <m:sSubPr>
            <m:ctrlPr>
              <w:rPr>
                <w:rFonts w:ascii="Cambria Math" w:hAnsi="Cambria Math" w:cs="Times New Roman"/>
                <w:sz w:val="21"/>
                <w:szCs w:val="21"/>
              </w:rPr>
            </m:ctrlPr>
          </m:sSubPr>
          <m:e>
            <m:r>
              <w:rPr>
                <w:rFonts w:ascii="Cambria Math" w:hAnsi="Cambria Math" w:cs="Times New Roman"/>
                <w:sz w:val="21"/>
                <w:szCs w:val="21"/>
              </w:rPr>
              <m:t>​</m:t>
            </m:r>
          </m:e>
          <m:sub>
            <m:r>
              <w:rPr>
                <w:rFonts w:ascii="Cambria Math" w:hAnsi="Cambria Math" w:cs="Times New Roman"/>
                <w:sz w:val="21"/>
                <w:szCs w:val="21"/>
              </w:rPr>
              <m:t>mp</m:t>
            </m:r>
          </m:sub>
        </m:sSub>
      </m:oMath>
      <w:r w:rsidRPr="00F959A0">
        <w:rPr>
          <w:rFonts w:ascii="Times New Roman" w:hAnsi="Times New Roman" w:cs="Times New Roman"/>
          <w:sz w:val="21"/>
          <w:szCs w:val="21"/>
        </w:rPr>
        <w:t>. According to Garrett, Hume’s conclusion in MP is that body</w:t>
      </w:r>
      <m:oMath>
        <m:sSub>
          <m:sSubPr>
            <m:ctrlPr>
              <w:rPr>
                <w:rFonts w:ascii="Cambria Math" w:hAnsi="Cambria Math" w:cs="Times New Roman"/>
                <w:sz w:val="21"/>
                <w:szCs w:val="21"/>
              </w:rPr>
            </m:ctrlPr>
          </m:sSubPr>
          <m:e>
            <m:r>
              <w:rPr>
                <w:rFonts w:ascii="Cambria Math" w:hAnsi="Cambria Math" w:cs="Times New Roman"/>
                <w:sz w:val="21"/>
                <w:szCs w:val="21"/>
              </w:rPr>
              <m:t>​</m:t>
            </m:r>
          </m:e>
          <m:sub>
            <m:r>
              <w:rPr>
                <w:rFonts w:ascii="Cambria Math" w:hAnsi="Cambria Math" w:cs="Times New Roman"/>
                <w:sz w:val="21"/>
                <w:szCs w:val="21"/>
              </w:rPr>
              <m:t>mp</m:t>
            </m:r>
          </m:sub>
        </m:sSub>
      </m:oMath>
      <w:r w:rsidRPr="00F959A0">
        <w:rPr>
          <w:rFonts w:ascii="Times New Roman" w:hAnsi="Times New Roman" w:cs="Times New Roman"/>
          <w:sz w:val="21"/>
          <w:szCs w:val="21"/>
        </w:rPr>
        <w:t xml:space="preserve"> is inconceivable. Nonetheless, the modern philosophers </w:t>
      </w:r>
      <w:r w:rsidRPr="00F959A0">
        <w:rPr>
          <w:rFonts w:ascii="Times New Roman" w:hAnsi="Times New Roman" w:cs="Times New Roman"/>
          <w:i/>
          <w:iCs/>
          <w:sz w:val="21"/>
          <w:szCs w:val="21"/>
        </w:rPr>
        <w:t>believe</w:t>
      </w:r>
      <w:r w:rsidRPr="00F959A0">
        <w:rPr>
          <w:rFonts w:ascii="Times New Roman" w:hAnsi="Times New Roman" w:cs="Times New Roman"/>
          <w:sz w:val="21"/>
          <w:szCs w:val="21"/>
        </w:rPr>
        <w:t xml:space="preserve"> in body, and belief in </w:t>
      </w:r>
      <w:r w:rsidRPr="00F959A0">
        <w:rPr>
          <w:rFonts w:ascii="Times New Roman" w:hAnsi="Times New Roman" w:cs="Times New Roman"/>
          <w:i/>
          <w:iCs/>
          <w:sz w:val="21"/>
          <w:szCs w:val="21"/>
        </w:rPr>
        <w:t>x</w:t>
      </w:r>
      <w:r w:rsidRPr="00F959A0">
        <w:rPr>
          <w:rFonts w:ascii="Times New Roman" w:hAnsi="Times New Roman" w:cs="Times New Roman"/>
          <w:sz w:val="21"/>
          <w:szCs w:val="21"/>
        </w:rPr>
        <w:t xml:space="preserve"> requires a conception of </w:t>
      </w:r>
      <w:r w:rsidRPr="00F959A0">
        <w:rPr>
          <w:rFonts w:ascii="Times New Roman" w:hAnsi="Times New Roman" w:cs="Times New Roman"/>
          <w:i/>
          <w:iCs/>
          <w:sz w:val="21"/>
          <w:szCs w:val="21"/>
        </w:rPr>
        <w:t>x</w:t>
      </w:r>
      <w:r w:rsidRPr="00F959A0">
        <w:rPr>
          <w:rFonts w:ascii="Times New Roman" w:hAnsi="Times New Roman" w:cs="Times New Roman"/>
          <w:sz w:val="21"/>
          <w:szCs w:val="21"/>
        </w:rPr>
        <w:t xml:space="preserve">. Thus, Garrett claims, against their own principles, the modern philosophers must believe in bodies understood to possess secondary qualities. I do not think that this reading accommodates the passage in view, in which Hume says that the idea of matter </w:t>
      </w:r>
      <w:r w:rsidRPr="00F959A0">
        <w:rPr>
          <w:rFonts w:ascii="Times New Roman" w:hAnsi="Times New Roman" w:cs="Times New Roman"/>
          <w:i/>
          <w:iCs/>
          <w:sz w:val="21"/>
          <w:szCs w:val="21"/>
        </w:rPr>
        <w:t>itself</w:t>
      </w:r>
      <w:r w:rsidRPr="00F959A0">
        <w:rPr>
          <w:rFonts w:ascii="Times New Roman" w:hAnsi="Times New Roman" w:cs="Times New Roman"/>
          <w:sz w:val="21"/>
          <w:szCs w:val="21"/>
        </w:rPr>
        <w:t xml:space="preserve"> includes a contradiction. </w:t>
      </w:r>
    </w:p>
  </w:footnote>
  <w:footnote w:id="34">
    <w:p w14:paraId="1C084511" w14:textId="1D6F9957"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As Hume uses it, the verb “conceive” sometimes takes an idea as its object, not that of which the idea is a representation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1.1.7.7, 1.2.1.3). In this sense of “conceive,” MP’s skeptical argument implies that the idea of body</w:t>
      </w:r>
      <m:oMath>
        <m:sSub>
          <m:sSubPr>
            <m:ctrlPr>
              <w:rPr>
                <w:rFonts w:ascii="Cambria Math" w:hAnsi="Cambria Math" w:cs="Times New Roman"/>
                <w:sz w:val="21"/>
                <w:szCs w:val="21"/>
              </w:rPr>
            </m:ctrlPr>
          </m:sSubPr>
          <m:e>
            <m:r>
              <w:rPr>
                <w:rFonts w:ascii="Cambria Math" w:hAnsi="Cambria Math" w:cs="Times New Roman"/>
                <w:sz w:val="21"/>
                <w:szCs w:val="21"/>
              </w:rPr>
              <m:t>​</m:t>
            </m:r>
          </m:e>
          <m:sub>
            <m:r>
              <w:rPr>
                <w:rFonts w:ascii="Cambria Math" w:hAnsi="Cambria Math" w:cs="Times New Roman"/>
                <w:sz w:val="21"/>
                <w:szCs w:val="21"/>
              </w:rPr>
              <m:t>mp</m:t>
            </m:r>
          </m:sub>
        </m:sSub>
      </m:oMath>
      <w:r w:rsidRPr="00F959A0">
        <w:rPr>
          <w:rFonts w:ascii="Times New Roman" w:eastAsiaTheme="minorEastAsia" w:hAnsi="Times New Roman" w:cs="Times New Roman"/>
          <w:sz w:val="21"/>
          <w:szCs w:val="21"/>
        </w:rPr>
        <w:t xml:space="preserve"> is inconceivable.</w:t>
      </w:r>
    </w:p>
  </w:footnote>
  <w:footnote w:id="35">
    <w:p w14:paraId="3A4A8E83" w14:textId="35991B2B"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Loeb, </w:t>
      </w:r>
      <w:r w:rsidRPr="00F959A0">
        <w:rPr>
          <w:rFonts w:ascii="Times New Roman" w:hAnsi="Times New Roman" w:cs="Times New Roman"/>
          <w:i/>
          <w:iCs/>
          <w:sz w:val="21"/>
          <w:szCs w:val="21"/>
        </w:rPr>
        <w:t>Stability and Justification</w:t>
      </w:r>
      <w:r w:rsidRPr="00F959A0">
        <w:rPr>
          <w:rFonts w:ascii="Times New Roman" w:hAnsi="Times New Roman" w:cs="Times New Roman"/>
          <w:sz w:val="21"/>
          <w:szCs w:val="21"/>
        </w:rPr>
        <w:t>, 218.</w:t>
      </w:r>
    </w:p>
  </w:footnote>
  <w:footnote w:id="36">
    <w:p w14:paraId="3FD769B2" w14:textId="0878FB5A"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Allison, </w:t>
      </w:r>
      <w:r w:rsidRPr="00F959A0">
        <w:rPr>
          <w:rFonts w:ascii="Times New Roman" w:hAnsi="Times New Roman" w:cs="Times New Roman"/>
          <w:i/>
          <w:iCs/>
          <w:sz w:val="21"/>
          <w:szCs w:val="21"/>
        </w:rPr>
        <w:t>Custom and Reason</w:t>
      </w:r>
      <w:r w:rsidRPr="00F959A0">
        <w:rPr>
          <w:rFonts w:ascii="Times New Roman" w:hAnsi="Times New Roman" w:cs="Times New Roman"/>
          <w:sz w:val="21"/>
          <w:szCs w:val="21"/>
        </w:rPr>
        <w:t>, 268.</w:t>
      </w:r>
    </w:p>
  </w:footnote>
  <w:footnote w:id="37">
    <w:p w14:paraId="48877291" w14:textId="77777777"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Allison, </w:t>
      </w:r>
      <w:r w:rsidRPr="00F959A0">
        <w:rPr>
          <w:rFonts w:ascii="Times New Roman" w:hAnsi="Times New Roman" w:cs="Times New Roman"/>
          <w:i/>
          <w:iCs/>
          <w:sz w:val="21"/>
          <w:szCs w:val="21"/>
        </w:rPr>
        <w:t>Custom and Reason</w:t>
      </w:r>
      <w:r w:rsidRPr="00F959A0">
        <w:rPr>
          <w:rFonts w:ascii="Times New Roman" w:hAnsi="Times New Roman" w:cs="Times New Roman"/>
          <w:sz w:val="21"/>
          <w:szCs w:val="21"/>
        </w:rPr>
        <w:t>, 268.</w:t>
      </w:r>
    </w:p>
  </w:footnote>
  <w:footnote w:id="38">
    <w:p w14:paraId="59266839" w14:textId="0D27C1D8"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Millican, “Causal Realism,” 677, holds that Hume restricts the inconceivability principle but not the conceivability principle to adequate ideas. Kail, “Conceivability and Modality,” argues that Hume restricts the conceivability principle to adequate ideas.</w:t>
      </w:r>
    </w:p>
  </w:footnote>
  <w:footnote w:id="39">
    <w:p w14:paraId="5880156F" w14:textId="4944298D"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Hume also holds that to show the impossibility of </w:t>
      </w:r>
      <w:r w:rsidRPr="00F959A0">
        <w:rPr>
          <w:rFonts w:ascii="Times New Roman" w:hAnsi="Times New Roman" w:cs="Times New Roman"/>
          <w:i/>
          <w:iCs/>
          <w:sz w:val="21"/>
          <w:szCs w:val="21"/>
        </w:rPr>
        <w:t>x</w:t>
      </w:r>
      <w:r w:rsidRPr="00F959A0">
        <w:rPr>
          <w:rFonts w:ascii="Times New Roman" w:hAnsi="Times New Roman" w:cs="Times New Roman"/>
          <w:sz w:val="21"/>
          <w:szCs w:val="21"/>
        </w:rPr>
        <w:t xml:space="preserve">’s existence from the incoherence of the idea of </w:t>
      </w:r>
      <w:r w:rsidRPr="00F959A0">
        <w:rPr>
          <w:rFonts w:ascii="Times New Roman" w:hAnsi="Times New Roman" w:cs="Times New Roman"/>
          <w:i/>
          <w:iCs/>
          <w:sz w:val="21"/>
          <w:szCs w:val="21"/>
        </w:rPr>
        <w:t>x</w:t>
      </w:r>
      <w:r w:rsidRPr="00F959A0">
        <w:rPr>
          <w:rFonts w:ascii="Times New Roman" w:hAnsi="Times New Roman" w:cs="Times New Roman"/>
          <w:sz w:val="21"/>
          <w:szCs w:val="21"/>
        </w:rPr>
        <w:t xml:space="preserve">, one must have an adequate idea of </w:t>
      </w:r>
      <w:r w:rsidRPr="00F959A0">
        <w:rPr>
          <w:rFonts w:ascii="Times New Roman" w:hAnsi="Times New Roman" w:cs="Times New Roman"/>
          <w:i/>
          <w:iCs/>
          <w:sz w:val="21"/>
          <w:szCs w:val="21"/>
        </w:rPr>
        <w:t>x</w:t>
      </w:r>
      <w:r w:rsidRPr="00F959A0">
        <w:rPr>
          <w:rFonts w:ascii="Times New Roman" w:hAnsi="Times New Roman" w:cs="Times New Roman"/>
          <w:sz w:val="21"/>
          <w:szCs w:val="21"/>
        </w:rPr>
        <w:t>. He implies that the “contradictions and agreements” of ideas are known to be “applicable to the objects” only when the relevant ideas are adequate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1.2.2.1). If one’s idea of </w:t>
      </w:r>
      <w:r w:rsidRPr="00F959A0">
        <w:rPr>
          <w:rFonts w:ascii="Times New Roman" w:hAnsi="Times New Roman" w:cs="Times New Roman"/>
          <w:i/>
          <w:iCs/>
          <w:sz w:val="21"/>
          <w:szCs w:val="21"/>
        </w:rPr>
        <w:t>x</w:t>
      </w:r>
      <w:r w:rsidRPr="00F959A0">
        <w:rPr>
          <w:rFonts w:ascii="Times New Roman" w:hAnsi="Times New Roman" w:cs="Times New Roman"/>
          <w:sz w:val="21"/>
          <w:szCs w:val="21"/>
        </w:rPr>
        <w:t xml:space="preserve"> is inadequate, then what “</w:t>
      </w:r>
      <w:r w:rsidRPr="00F959A0">
        <w:rPr>
          <w:rFonts w:ascii="Times New Roman" w:hAnsi="Times New Roman" w:cs="Times New Roman"/>
          <w:i/>
          <w:iCs/>
          <w:sz w:val="21"/>
          <w:szCs w:val="21"/>
        </w:rPr>
        <w:t>appears</w:t>
      </w:r>
      <w:r w:rsidRPr="00F959A0">
        <w:rPr>
          <w:rFonts w:ascii="Times New Roman" w:hAnsi="Times New Roman" w:cs="Times New Roman"/>
          <w:sz w:val="21"/>
          <w:szCs w:val="21"/>
        </w:rPr>
        <w:t xml:space="preserve"> . . . contradictory” in the idea need not correspond to </w:t>
      </w:r>
      <w:r w:rsidRPr="00F959A0">
        <w:rPr>
          <w:rFonts w:ascii="Times New Roman" w:hAnsi="Times New Roman" w:cs="Times New Roman"/>
          <w:i/>
          <w:iCs/>
          <w:sz w:val="21"/>
          <w:szCs w:val="21"/>
        </w:rPr>
        <w:t>x</w:t>
      </w:r>
      <w:r w:rsidRPr="00F959A0">
        <w:rPr>
          <w:rFonts w:ascii="Times New Roman" w:hAnsi="Times New Roman" w:cs="Times New Roman"/>
          <w:sz w:val="21"/>
          <w:szCs w:val="21"/>
        </w:rPr>
        <w:t>’s being “</w:t>
      </w:r>
      <w:r w:rsidRPr="00F959A0">
        <w:rPr>
          <w:rFonts w:ascii="Times New Roman" w:hAnsi="Times New Roman" w:cs="Times New Roman"/>
          <w:i/>
          <w:iCs/>
          <w:sz w:val="21"/>
          <w:szCs w:val="21"/>
        </w:rPr>
        <w:t>really</w:t>
      </w:r>
      <w:r w:rsidRPr="00F959A0">
        <w:rPr>
          <w:rFonts w:ascii="Times New Roman" w:hAnsi="Times New Roman" w:cs="Times New Roman"/>
          <w:sz w:val="21"/>
          <w:szCs w:val="21"/>
        </w:rPr>
        <w:t xml:space="preserve"> impossible.” A similar claim occurs in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1.4.5, where Hume writes that a conclusion regarding the “connexion and repugnance of impressions” need not be “applicable” to objects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1.4.5.20). Wright, “Hume’s Rejection,” 152, argues that, for Hume, “what is inconceivable in idea . . . may very well exist in reality.”</w:t>
      </w:r>
    </w:p>
  </w:footnote>
  <w:footnote w:id="40">
    <w:p w14:paraId="317948C1" w14:textId="229D5D64"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Loeb, </w:t>
      </w:r>
      <w:r w:rsidRPr="00F959A0">
        <w:rPr>
          <w:rFonts w:ascii="Times New Roman" w:hAnsi="Times New Roman" w:cs="Times New Roman"/>
          <w:i/>
          <w:iCs/>
          <w:sz w:val="21"/>
          <w:szCs w:val="21"/>
        </w:rPr>
        <w:t>Stability and Justification</w:t>
      </w:r>
      <w:r w:rsidRPr="00F959A0">
        <w:rPr>
          <w:rFonts w:ascii="Times New Roman" w:hAnsi="Times New Roman" w:cs="Times New Roman"/>
          <w:sz w:val="21"/>
          <w:szCs w:val="21"/>
        </w:rPr>
        <w:t>, 218, holds that this passage supports the metaphysical reading: “When we reason from cause and effect, we conclude, that neither colour, sound, taste, nor smell have a continu’d and independent existence. When we exclude these sensible qualities there remains nothing in the universe, which has such an existence”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1.4.4.15). But the passage admits of a conceptual reading, according to which it is simply a restatement of the conclusion of the skeptical argument: “that after the exclusion of colours, sounds, heat and cold from the rank of external existences, there remains nothing, which can afford us a just and consistent idea of body”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1.4.4.10).</w:t>
      </w:r>
    </w:p>
  </w:footnote>
  <w:footnote w:id="41">
    <w:p w14:paraId="2AAF28EC" w14:textId="577002F2"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Hume’s position resembles one discussed by Blackburn, on which we avoid the result that only dispositional properties exist by claiming that the world’s categorical properties are “properties available to the subjective view,” such as color (“Filling in Space,” 258).</w:t>
      </w:r>
    </w:p>
  </w:footnote>
  <w:footnote w:id="42">
    <w:p w14:paraId="0AC12FAD" w14:textId="4F58F5BC"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Fogelin, </w:t>
      </w:r>
      <w:r w:rsidRPr="00F959A0">
        <w:rPr>
          <w:rFonts w:ascii="Times New Roman" w:hAnsi="Times New Roman" w:cs="Times New Roman"/>
          <w:i/>
          <w:iCs/>
          <w:sz w:val="21"/>
          <w:szCs w:val="21"/>
        </w:rPr>
        <w:t>Hume’s Skepticism</w:t>
      </w:r>
      <w:r w:rsidRPr="00F959A0">
        <w:rPr>
          <w:rFonts w:ascii="Times New Roman" w:hAnsi="Times New Roman" w:cs="Times New Roman"/>
          <w:sz w:val="21"/>
          <w:szCs w:val="21"/>
        </w:rPr>
        <w:t>, 5.</w:t>
      </w:r>
    </w:p>
  </w:footnote>
  <w:footnote w:id="43">
    <w:p w14:paraId="34BDB847" w14:textId="56FAD4E5"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Hakkarainen, “Why Hume,” 158, holds that MP advocates for prescriptive skepticism about the belief in body. According to Hakkarainen, Hume holds that it is a “rational norm” that one should not believe in body. Even if this norm can be followed only intermittently, we ought to suspend belief in body when possible. </w:t>
      </w:r>
    </w:p>
  </w:footnote>
  <w:footnote w:id="44">
    <w:p w14:paraId="4F1B7F23" w14:textId="252EA7BB"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MP’s second phase does not conclude with the completion of the skeptical argument. Hume continues by providing several arguments concerning solidity, according to which while we “naturally imagine, that we feel the solidity of bodies,” this is “more popular than philosophical”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1.4.4.12). See Fisette, “Lockean Metaphysics,” for discussion. </w:t>
      </w:r>
    </w:p>
  </w:footnote>
  <w:footnote w:id="45">
    <w:p w14:paraId="7DCBBFA6" w14:textId="1E6372DF"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My “*” marks a footnote to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1.4.4.</w:t>
      </w:r>
    </w:p>
  </w:footnote>
  <w:footnote w:id="46">
    <w:p w14:paraId="079233EA" w14:textId="394D2F24"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Hume acknowledges a sense in which causal reasoning, like those to which T 1.4.2 appeals, is “trivial.” He claims that “experience” and “habit” cause one to “form certain ideas in a more intense and lively manner”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1.4.7.3). This liveliness is “the very essence of belief” (</w:t>
      </w:r>
      <w:r w:rsidRPr="00F959A0">
        <w:rPr>
          <w:rFonts w:ascii="Times New Roman" w:hAnsi="Times New Roman" w:cs="Times New Roman"/>
          <w:i/>
          <w:iCs/>
          <w:sz w:val="21"/>
          <w:szCs w:val="21"/>
        </w:rPr>
        <w:t xml:space="preserve">T </w:t>
      </w:r>
      <w:r w:rsidRPr="00F959A0">
        <w:rPr>
          <w:rFonts w:ascii="Times New Roman" w:hAnsi="Times New Roman" w:cs="Times New Roman"/>
          <w:sz w:val="21"/>
          <w:szCs w:val="21"/>
        </w:rPr>
        <w:t>1.4.2.24). But the quality of the imagination by which it enlivens ideas is “seemingly is so trivial”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1.4.7.3). Causal reasoning involves a trivial feature of the imagination when it produces belief.</w:t>
      </w:r>
    </w:p>
  </w:footnote>
  <w:footnote w:id="47">
    <w:p w14:paraId="14B6ABD8" w14:textId="26F4886F"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I am grateful to an anonymous referee for encouraging me to explain how my reading bears on </w:t>
      </w:r>
      <w:r w:rsidRPr="00F959A0">
        <w:rPr>
          <w:rFonts w:ascii="Times New Roman" w:hAnsi="Times New Roman" w:cs="Times New Roman"/>
          <w:i/>
          <w:iCs/>
          <w:sz w:val="21"/>
          <w:szCs w:val="21"/>
        </w:rPr>
        <w:t>T</w:t>
      </w:r>
      <w:r w:rsidRPr="00F959A0">
        <w:rPr>
          <w:rFonts w:ascii="Times New Roman" w:hAnsi="Times New Roman" w:cs="Times New Roman"/>
          <w:sz w:val="21"/>
          <w:szCs w:val="21"/>
        </w:rPr>
        <w:t xml:space="preserve"> 1.4.7.</w:t>
      </w:r>
    </w:p>
  </w:footnote>
  <w:footnote w:id="48">
    <w:p w14:paraId="7048FAC5" w14:textId="561E10B5"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Garrett, </w:t>
      </w:r>
      <w:r w:rsidRPr="00F959A0">
        <w:rPr>
          <w:rFonts w:ascii="Times New Roman" w:hAnsi="Times New Roman" w:cs="Times New Roman"/>
          <w:i/>
          <w:iCs/>
          <w:sz w:val="21"/>
          <w:szCs w:val="21"/>
        </w:rPr>
        <w:t>Cognition and Commitment</w:t>
      </w:r>
      <w:r w:rsidRPr="00F959A0">
        <w:rPr>
          <w:rFonts w:ascii="Times New Roman" w:hAnsi="Times New Roman" w:cs="Times New Roman"/>
          <w:sz w:val="21"/>
          <w:szCs w:val="21"/>
        </w:rPr>
        <w:t xml:space="preserve">, 234. Interpreters who ascribe a central place in Hume’s epistemology to the title principle include Allison, </w:t>
      </w:r>
      <w:r w:rsidRPr="00F959A0">
        <w:rPr>
          <w:rFonts w:ascii="Times New Roman" w:hAnsi="Times New Roman" w:cs="Times New Roman"/>
          <w:i/>
          <w:iCs/>
          <w:sz w:val="21"/>
          <w:szCs w:val="21"/>
        </w:rPr>
        <w:t>Custom and Reason</w:t>
      </w:r>
      <w:r w:rsidRPr="00F959A0">
        <w:rPr>
          <w:rFonts w:ascii="Times New Roman" w:hAnsi="Times New Roman" w:cs="Times New Roman"/>
          <w:sz w:val="21"/>
          <w:szCs w:val="21"/>
        </w:rPr>
        <w:t xml:space="preserve">; Kail, </w:t>
      </w:r>
      <w:r w:rsidRPr="00F959A0">
        <w:rPr>
          <w:rFonts w:ascii="Times New Roman" w:hAnsi="Times New Roman" w:cs="Times New Roman"/>
          <w:i/>
          <w:iCs/>
          <w:sz w:val="21"/>
          <w:szCs w:val="21"/>
        </w:rPr>
        <w:t>Projection and Realism</w:t>
      </w:r>
      <w:r w:rsidRPr="00F959A0">
        <w:rPr>
          <w:rFonts w:ascii="Times New Roman" w:hAnsi="Times New Roman" w:cs="Times New Roman"/>
          <w:sz w:val="21"/>
          <w:szCs w:val="21"/>
        </w:rPr>
        <w:t xml:space="preserve">; Magri, </w:t>
      </w:r>
      <w:r w:rsidRPr="00F959A0">
        <w:rPr>
          <w:rFonts w:ascii="Times New Roman" w:hAnsi="Times New Roman" w:cs="Times New Roman"/>
          <w:i/>
          <w:iCs/>
          <w:sz w:val="21"/>
          <w:szCs w:val="21"/>
        </w:rPr>
        <w:t>Hume’s Imagination</w:t>
      </w:r>
      <w:r w:rsidRPr="00F959A0">
        <w:rPr>
          <w:rFonts w:ascii="Times New Roman" w:hAnsi="Times New Roman" w:cs="Times New Roman"/>
          <w:sz w:val="21"/>
          <w:szCs w:val="21"/>
        </w:rPr>
        <w:t xml:space="preserve">; Sasser, </w:t>
      </w:r>
      <w:r w:rsidRPr="00F959A0">
        <w:rPr>
          <w:rFonts w:ascii="Times New Roman" w:hAnsi="Times New Roman" w:cs="Times New Roman"/>
          <w:i/>
          <w:iCs/>
          <w:sz w:val="21"/>
          <w:szCs w:val="21"/>
        </w:rPr>
        <w:t>Demands of Philosophy</w:t>
      </w:r>
      <w:r w:rsidRPr="00F959A0">
        <w:rPr>
          <w:rFonts w:ascii="Times New Roman" w:hAnsi="Times New Roman" w:cs="Times New Roman"/>
          <w:sz w:val="21"/>
          <w:szCs w:val="21"/>
        </w:rPr>
        <w:t xml:space="preserve">; Schafer, “Curious Virtues;” and Schmitt, </w:t>
      </w:r>
      <w:r w:rsidRPr="00F959A0">
        <w:rPr>
          <w:rFonts w:ascii="Times New Roman" w:hAnsi="Times New Roman" w:cs="Times New Roman"/>
          <w:i/>
          <w:iCs/>
          <w:sz w:val="21"/>
          <w:szCs w:val="21"/>
        </w:rPr>
        <w:t>Hume’s Epistemology</w:t>
      </w:r>
      <w:r w:rsidRPr="00F959A0">
        <w:rPr>
          <w:rFonts w:ascii="Times New Roman" w:hAnsi="Times New Roman" w:cs="Times New Roman"/>
          <w:sz w:val="21"/>
          <w:szCs w:val="21"/>
        </w:rPr>
        <w:t xml:space="preserve">. Dissenters include Ainslie, </w:t>
      </w:r>
      <w:r w:rsidRPr="00F959A0">
        <w:rPr>
          <w:rFonts w:ascii="Times New Roman" w:hAnsi="Times New Roman" w:cs="Times New Roman"/>
          <w:i/>
          <w:iCs/>
          <w:sz w:val="21"/>
          <w:szCs w:val="21"/>
        </w:rPr>
        <w:t>True Skepticism,</w:t>
      </w:r>
      <w:r w:rsidRPr="00F959A0">
        <w:rPr>
          <w:rFonts w:ascii="Times New Roman" w:hAnsi="Times New Roman" w:cs="Times New Roman"/>
          <w:sz w:val="21"/>
          <w:szCs w:val="21"/>
        </w:rPr>
        <w:t xml:space="preserve"> and De Pierris, </w:t>
      </w:r>
      <w:r w:rsidRPr="00F959A0">
        <w:rPr>
          <w:rFonts w:ascii="Times New Roman" w:hAnsi="Times New Roman" w:cs="Times New Roman"/>
          <w:i/>
          <w:iCs/>
          <w:sz w:val="21"/>
          <w:szCs w:val="21"/>
        </w:rPr>
        <w:t>Ideas, Evidence, and Method</w:t>
      </w:r>
      <w:r w:rsidRPr="00F959A0">
        <w:rPr>
          <w:rFonts w:ascii="Times New Roman" w:hAnsi="Times New Roman" w:cs="Times New Roman"/>
          <w:sz w:val="21"/>
          <w:szCs w:val="21"/>
        </w:rPr>
        <w:t xml:space="preserve">. Garrett, “Title Principle,” and Qu, </w:t>
      </w:r>
      <w:r w:rsidRPr="00F959A0">
        <w:rPr>
          <w:rFonts w:ascii="Times New Roman" w:hAnsi="Times New Roman" w:cs="Times New Roman"/>
          <w:i/>
          <w:iCs/>
          <w:sz w:val="21"/>
          <w:szCs w:val="21"/>
        </w:rPr>
        <w:t>Epistemological Evolution</w:t>
      </w:r>
      <w:r w:rsidRPr="00F959A0">
        <w:rPr>
          <w:rFonts w:ascii="Times New Roman" w:hAnsi="Times New Roman" w:cs="Times New Roman"/>
          <w:sz w:val="21"/>
          <w:szCs w:val="21"/>
        </w:rPr>
        <w:t>, offer excellent recent discussions of the principle.</w:t>
      </w:r>
    </w:p>
  </w:footnote>
  <w:footnote w:id="49">
    <w:p w14:paraId="1ADF4D7B" w14:textId="47CECB0C"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In a footnote to the </w:t>
      </w:r>
      <w:r w:rsidRPr="00F959A0">
        <w:rPr>
          <w:rFonts w:ascii="Times New Roman" w:hAnsi="Times New Roman" w:cs="Times New Roman"/>
          <w:i/>
          <w:iCs/>
          <w:sz w:val="21"/>
          <w:szCs w:val="21"/>
        </w:rPr>
        <w:t>Enquiry</w:t>
      </w:r>
      <w:r w:rsidRPr="00F959A0">
        <w:rPr>
          <w:rFonts w:ascii="Times New Roman" w:hAnsi="Times New Roman" w:cs="Times New Roman"/>
          <w:sz w:val="21"/>
          <w:szCs w:val="21"/>
        </w:rPr>
        <w:t>’s skeptical argument concerning the primary/secondary distinction, Hume says that Berkeley’s arguments “form the best lessons of scepticism,” at least in part because “</w:t>
      </w:r>
      <w:r w:rsidRPr="00F959A0">
        <w:rPr>
          <w:rFonts w:ascii="Times New Roman" w:hAnsi="Times New Roman" w:cs="Times New Roman"/>
          <w:i/>
          <w:iCs/>
          <w:sz w:val="21"/>
          <w:szCs w:val="21"/>
        </w:rPr>
        <w:t>they admit of no answer and produce no conviction</w:t>
      </w:r>
      <w:r w:rsidRPr="00F959A0">
        <w:rPr>
          <w:rFonts w:ascii="Times New Roman" w:hAnsi="Times New Roman" w:cs="Times New Roman"/>
          <w:sz w:val="21"/>
          <w:szCs w:val="21"/>
        </w:rPr>
        <w:t>” (</w:t>
      </w:r>
      <w:r w:rsidRPr="00F959A0">
        <w:rPr>
          <w:rFonts w:ascii="Times New Roman" w:hAnsi="Times New Roman" w:cs="Times New Roman"/>
          <w:i/>
          <w:iCs/>
          <w:sz w:val="21"/>
          <w:szCs w:val="21"/>
        </w:rPr>
        <w:t xml:space="preserve">EU </w:t>
      </w:r>
      <w:r w:rsidRPr="00F959A0">
        <w:rPr>
          <w:rFonts w:ascii="Times New Roman" w:hAnsi="Times New Roman" w:cs="Times New Roman"/>
          <w:sz w:val="21"/>
          <w:szCs w:val="21"/>
        </w:rPr>
        <w:t>12.15n). Similarly, although MP’s skeptical conclusions are, in Hume’s view, unimpeachable, they do lead him or anyone else to abandon the belief in body.</w:t>
      </w:r>
    </w:p>
  </w:footnote>
  <w:footnote w:id="50">
    <w:p w14:paraId="644DC604" w14:textId="1BC6E93A"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I am grateful to an anonymous referee for encouraging me to consider the relation between these arguments.</w:t>
      </w:r>
    </w:p>
  </w:footnote>
  <w:footnote w:id="51">
    <w:p w14:paraId="176BC6C7" w14:textId="59F137A6"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MP’s argument does presuppose that, for any primary quality, ideas of that quality depend either on ideas of secondary qualities or on ideas of another primary quality, where the former possibility is excluded by the negative commitment of the modern philosophy. The disanalogy between the arguments remains: the </w:t>
      </w:r>
      <w:r w:rsidRPr="00F959A0">
        <w:rPr>
          <w:rFonts w:ascii="Times New Roman" w:hAnsi="Times New Roman" w:cs="Times New Roman"/>
          <w:i/>
          <w:iCs/>
          <w:sz w:val="21"/>
          <w:szCs w:val="21"/>
        </w:rPr>
        <w:t xml:space="preserve">Enquiry </w:t>
      </w:r>
      <w:r w:rsidRPr="00F959A0">
        <w:rPr>
          <w:rFonts w:ascii="Times New Roman" w:hAnsi="Times New Roman" w:cs="Times New Roman"/>
          <w:sz w:val="21"/>
          <w:szCs w:val="21"/>
        </w:rPr>
        <w:t>argument does not consider the possibility of there being conceptual dependence relations among ideas of primary qualities.</w:t>
      </w:r>
    </w:p>
  </w:footnote>
  <w:footnote w:id="52">
    <w:p w14:paraId="79932A0D" w14:textId="4E4C8A8E" w:rsidR="00F959A0" w:rsidRPr="00F959A0" w:rsidRDefault="00F959A0" w:rsidP="00F959A0">
      <w:pPr>
        <w:pStyle w:val="FootnoteText"/>
        <w:spacing w:after="0" w:line="276" w:lineRule="auto"/>
        <w:jc w:val="both"/>
        <w:rPr>
          <w:rFonts w:ascii="Times New Roman" w:hAnsi="Times New Roman" w:cs="Times New Roman"/>
          <w:sz w:val="21"/>
          <w:szCs w:val="21"/>
        </w:rPr>
      </w:pPr>
      <w:r w:rsidRPr="00F959A0">
        <w:rPr>
          <w:rStyle w:val="FootnoteReference"/>
          <w:rFonts w:ascii="Times New Roman" w:hAnsi="Times New Roman" w:cs="Times New Roman"/>
          <w:sz w:val="21"/>
          <w:szCs w:val="21"/>
        </w:rPr>
        <w:footnoteRef/>
      </w:r>
      <w:r w:rsidRPr="00F959A0">
        <w:rPr>
          <w:rFonts w:ascii="Times New Roman" w:hAnsi="Times New Roman" w:cs="Times New Roman"/>
          <w:sz w:val="21"/>
          <w:szCs w:val="21"/>
        </w:rPr>
        <w:t xml:space="preserve"> Thanks to Katy Abramson, Steve Darwall, Michael Della Rocca, Don Garrett, Josefine Klingspor, Sadie McCloud, and Ken Winkler for their comments on the paper. Thanks also to Deborah Boyle and two anonymous referees for </w:t>
      </w:r>
      <w:r w:rsidRPr="00F959A0">
        <w:rPr>
          <w:rFonts w:ascii="Times New Roman" w:hAnsi="Times New Roman" w:cs="Times New Roman"/>
          <w:i/>
          <w:iCs/>
          <w:sz w:val="21"/>
          <w:szCs w:val="21"/>
        </w:rPr>
        <w:t>JHP</w:t>
      </w:r>
      <w:r w:rsidRPr="00F959A0">
        <w:rPr>
          <w:rFonts w:ascii="Times New Roman" w:hAnsi="Times New Roman" w:cs="Times New Roman"/>
          <w:sz w:val="21"/>
          <w:szCs w:val="21"/>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A990"/>
    <w:multiLevelType w:val="multilevel"/>
    <w:tmpl w:val="D7F4297A"/>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1" w15:restartNumberingAfterBreak="0">
    <w:nsid w:val="3F6717E6"/>
    <w:multiLevelType w:val="hybridMultilevel"/>
    <w:tmpl w:val="6AEA31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40113F"/>
    <w:multiLevelType w:val="hybridMultilevel"/>
    <w:tmpl w:val="A4221608"/>
    <w:lvl w:ilvl="0" w:tplc="544C38A6">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DB2A8E"/>
    <w:multiLevelType w:val="multilevel"/>
    <w:tmpl w:val="6F405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81512213">
    <w:abstractNumId w:val="0"/>
  </w:num>
  <w:num w:numId="2" w16cid:durableId="763770407">
    <w:abstractNumId w:val="1"/>
  </w:num>
  <w:num w:numId="3" w16cid:durableId="869563627">
    <w:abstractNumId w:val="3"/>
  </w:num>
  <w:num w:numId="4" w16cid:durableId="17354245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8"/>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6F6"/>
    <w:rsid w:val="00001F5D"/>
    <w:rsid w:val="00014B6B"/>
    <w:rsid w:val="00014BB7"/>
    <w:rsid w:val="0002229A"/>
    <w:rsid w:val="000229E4"/>
    <w:rsid w:val="000250DF"/>
    <w:rsid w:val="00025E67"/>
    <w:rsid w:val="000303F6"/>
    <w:rsid w:val="00063666"/>
    <w:rsid w:val="00065F67"/>
    <w:rsid w:val="00072034"/>
    <w:rsid w:val="00072B4B"/>
    <w:rsid w:val="000739A1"/>
    <w:rsid w:val="00081039"/>
    <w:rsid w:val="00090684"/>
    <w:rsid w:val="000A2705"/>
    <w:rsid w:val="000B2E52"/>
    <w:rsid w:val="000B3E71"/>
    <w:rsid w:val="000C1E36"/>
    <w:rsid w:val="000D01E9"/>
    <w:rsid w:val="000D2AD8"/>
    <w:rsid w:val="000D4502"/>
    <w:rsid w:val="000D4F59"/>
    <w:rsid w:val="000D650C"/>
    <w:rsid w:val="000E34F0"/>
    <w:rsid w:val="000E389C"/>
    <w:rsid w:val="000F276E"/>
    <w:rsid w:val="00101E7B"/>
    <w:rsid w:val="001032B1"/>
    <w:rsid w:val="00104827"/>
    <w:rsid w:val="001110A1"/>
    <w:rsid w:val="001145B5"/>
    <w:rsid w:val="0013251A"/>
    <w:rsid w:val="00141381"/>
    <w:rsid w:val="00142156"/>
    <w:rsid w:val="00143E1D"/>
    <w:rsid w:val="00147085"/>
    <w:rsid w:val="00151C45"/>
    <w:rsid w:val="001523F4"/>
    <w:rsid w:val="00161F32"/>
    <w:rsid w:val="00180EFC"/>
    <w:rsid w:val="0018233C"/>
    <w:rsid w:val="001923AE"/>
    <w:rsid w:val="00193FEC"/>
    <w:rsid w:val="001A4BA6"/>
    <w:rsid w:val="001A551C"/>
    <w:rsid w:val="001A6A17"/>
    <w:rsid w:val="001B26F5"/>
    <w:rsid w:val="001C643A"/>
    <w:rsid w:val="001C7238"/>
    <w:rsid w:val="001D0674"/>
    <w:rsid w:val="001D166C"/>
    <w:rsid w:val="001D65DB"/>
    <w:rsid w:val="001F6A73"/>
    <w:rsid w:val="0020664E"/>
    <w:rsid w:val="00216BAE"/>
    <w:rsid w:val="00232F52"/>
    <w:rsid w:val="00241487"/>
    <w:rsid w:val="00241FFB"/>
    <w:rsid w:val="002501E9"/>
    <w:rsid w:val="00250524"/>
    <w:rsid w:val="00251D5E"/>
    <w:rsid w:val="00262B55"/>
    <w:rsid w:val="002669ED"/>
    <w:rsid w:val="00266CEF"/>
    <w:rsid w:val="0026751D"/>
    <w:rsid w:val="0028648D"/>
    <w:rsid w:val="00287ABA"/>
    <w:rsid w:val="002A3F92"/>
    <w:rsid w:val="002A416D"/>
    <w:rsid w:val="002A6DF1"/>
    <w:rsid w:val="002B606F"/>
    <w:rsid w:val="002C0677"/>
    <w:rsid w:val="002D0156"/>
    <w:rsid w:val="002D26E1"/>
    <w:rsid w:val="002D481B"/>
    <w:rsid w:val="002D5B0E"/>
    <w:rsid w:val="002E047A"/>
    <w:rsid w:val="002F5BEC"/>
    <w:rsid w:val="003011BB"/>
    <w:rsid w:val="00315FC7"/>
    <w:rsid w:val="00325242"/>
    <w:rsid w:val="003252B0"/>
    <w:rsid w:val="003369FD"/>
    <w:rsid w:val="00337937"/>
    <w:rsid w:val="0034217E"/>
    <w:rsid w:val="00347C9D"/>
    <w:rsid w:val="00357E83"/>
    <w:rsid w:val="003604C1"/>
    <w:rsid w:val="00362FE5"/>
    <w:rsid w:val="00374683"/>
    <w:rsid w:val="003774F4"/>
    <w:rsid w:val="003828DB"/>
    <w:rsid w:val="003866ED"/>
    <w:rsid w:val="00392710"/>
    <w:rsid w:val="00394B36"/>
    <w:rsid w:val="00396D69"/>
    <w:rsid w:val="003972F7"/>
    <w:rsid w:val="003A6310"/>
    <w:rsid w:val="003B014B"/>
    <w:rsid w:val="003B0EB9"/>
    <w:rsid w:val="003B77A2"/>
    <w:rsid w:val="003C484A"/>
    <w:rsid w:val="003C49D0"/>
    <w:rsid w:val="003D0AA4"/>
    <w:rsid w:val="003D2CEB"/>
    <w:rsid w:val="003D4314"/>
    <w:rsid w:val="003E0FCC"/>
    <w:rsid w:val="003E2F97"/>
    <w:rsid w:val="003F385D"/>
    <w:rsid w:val="003F6E34"/>
    <w:rsid w:val="00401C40"/>
    <w:rsid w:val="00407F1D"/>
    <w:rsid w:val="0042070D"/>
    <w:rsid w:val="004273C3"/>
    <w:rsid w:val="00432562"/>
    <w:rsid w:val="00432B15"/>
    <w:rsid w:val="00453FCE"/>
    <w:rsid w:val="004630C9"/>
    <w:rsid w:val="004640A5"/>
    <w:rsid w:val="0048450A"/>
    <w:rsid w:val="00484A03"/>
    <w:rsid w:val="00487ECB"/>
    <w:rsid w:val="0049127E"/>
    <w:rsid w:val="004B1739"/>
    <w:rsid w:val="004C4AA5"/>
    <w:rsid w:val="00525ACD"/>
    <w:rsid w:val="00535FBA"/>
    <w:rsid w:val="005363D2"/>
    <w:rsid w:val="005469E0"/>
    <w:rsid w:val="00570AE2"/>
    <w:rsid w:val="0058408A"/>
    <w:rsid w:val="00585951"/>
    <w:rsid w:val="00591231"/>
    <w:rsid w:val="005B0CA8"/>
    <w:rsid w:val="005C5951"/>
    <w:rsid w:val="005C5AF2"/>
    <w:rsid w:val="005D2F5F"/>
    <w:rsid w:val="005E0494"/>
    <w:rsid w:val="005F0705"/>
    <w:rsid w:val="005F0DE9"/>
    <w:rsid w:val="005F5A4E"/>
    <w:rsid w:val="005F77F6"/>
    <w:rsid w:val="00600A69"/>
    <w:rsid w:val="00603F13"/>
    <w:rsid w:val="00605CE4"/>
    <w:rsid w:val="0060694C"/>
    <w:rsid w:val="006100CC"/>
    <w:rsid w:val="00610CC0"/>
    <w:rsid w:val="00612EC1"/>
    <w:rsid w:val="006138BF"/>
    <w:rsid w:val="006271F6"/>
    <w:rsid w:val="00640B58"/>
    <w:rsid w:val="00644F11"/>
    <w:rsid w:val="0066389C"/>
    <w:rsid w:val="00673C76"/>
    <w:rsid w:val="00674827"/>
    <w:rsid w:val="00675329"/>
    <w:rsid w:val="00681C21"/>
    <w:rsid w:val="006856BD"/>
    <w:rsid w:val="006867ED"/>
    <w:rsid w:val="0069584C"/>
    <w:rsid w:val="006A27AF"/>
    <w:rsid w:val="006A6E2E"/>
    <w:rsid w:val="006A71C7"/>
    <w:rsid w:val="006B6378"/>
    <w:rsid w:val="006C37CA"/>
    <w:rsid w:val="006E1510"/>
    <w:rsid w:val="006F1978"/>
    <w:rsid w:val="007156D7"/>
    <w:rsid w:val="00715986"/>
    <w:rsid w:val="00722C62"/>
    <w:rsid w:val="007249A1"/>
    <w:rsid w:val="007474CF"/>
    <w:rsid w:val="00752B25"/>
    <w:rsid w:val="007659FE"/>
    <w:rsid w:val="007717F3"/>
    <w:rsid w:val="007720FC"/>
    <w:rsid w:val="00792DB8"/>
    <w:rsid w:val="00796052"/>
    <w:rsid w:val="007A06CA"/>
    <w:rsid w:val="007A1B0D"/>
    <w:rsid w:val="007A50EF"/>
    <w:rsid w:val="007C5A6D"/>
    <w:rsid w:val="007C7EC4"/>
    <w:rsid w:val="007E26B9"/>
    <w:rsid w:val="007F7B75"/>
    <w:rsid w:val="0080280F"/>
    <w:rsid w:val="0081366B"/>
    <w:rsid w:val="00820D6A"/>
    <w:rsid w:val="00826FBA"/>
    <w:rsid w:val="00833CE0"/>
    <w:rsid w:val="00847296"/>
    <w:rsid w:val="00852CBC"/>
    <w:rsid w:val="00866C83"/>
    <w:rsid w:val="00870D3E"/>
    <w:rsid w:val="00880A42"/>
    <w:rsid w:val="00885A7A"/>
    <w:rsid w:val="00891D76"/>
    <w:rsid w:val="00893491"/>
    <w:rsid w:val="00893BE4"/>
    <w:rsid w:val="008957D7"/>
    <w:rsid w:val="008B530F"/>
    <w:rsid w:val="008C561A"/>
    <w:rsid w:val="008C6FEF"/>
    <w:rsid w:val="008D6F10"/>
    <w:rsid w:val="008E34C2"/>
    <w:rsid w:val="008F5033"/>
    <w:rsid w:val="00901AE2"/>
    <w:rsid w:val="00904B41"/>
    <w:rsid w:val="00905200"/>
    <w:rsid w:val="009417B2"/>
    <w:rsid w:val="009460F5"/>
    <w:rsid w:val="00951C71"/>
    <w:rsid w:val="00951E1A"/>
    <w:rsid w:val="00960092"/>
    <w:rsid w:val="009731A0"/>
    <w:rsid w:val="00974C2D"/>
    <w:rsid w:val="00976950"/>
    <w:rsid w:val="009832FF"/>
    <w:rsid w:val="00987FDA"/>
    <w:rsid w:val="00997753"/>
    <w:rsid w:val="009B1A77"/>
    <w:rsid w:val="009B3CD5"/>
    <w:rsid w:val="009C5B02"/>
    <w:rsid w:val="009C6C58"/>
    <w:rsid w:val="009F6ADF"/>
    <w:rsid w:val="00A02AAD"/>
    <w:rsid w:val="00A04F39"/>
    <w:rsid w:val="00A062F1"/>
    <w:rsid w:val="00A13BD9"/>
    <w:rsid w:val="00A27C5D"/>
    <w:rsid w:val="00A32B5E"/>
    <w:rsid w:val="00A43AB8"/>
    <w:rsid w:val="00A519BC"/>
    <w:rsid w:val="00A63B4B"/>
    <w:rsid w:val="00A6743F"/>
    <w:rsid w:val="00A80C03"/>
    <w:rsid w:val="00A96B99"/>
    <w:rsid w:val="00AA02FB"/>
    <w:rsid w:val="00AA5376"/>
    <w:rsid w:val="00AB03A1"/>
    <w:rsid w:val="00AB5C99"/>
    <w:rsid w:val="00AC4156"/>
    <w:rsid w:val="00AC5414"/>
    <w:rsid w:val="00AE2237"/>
    <w:rsid w:val="00AE2A2D"/>
    <w:rsid w:val="00AF64C5"/>
    <w:rsid w:val="00B12E0A"/>
    <w:rsid w:val="00B216EE"/>
    <w:rsid w:val="00B2638B"/>
    <w:rsid w:val="00B267AA"/>
    <w:rsid w:val="00B31B69"/>
    <w:rsid w:val="00B43059"/>
    <w:rsid w:val="00B46B66"/>
    <w:rsid w:val="00B46D72"/>
    <w:rsid w:val="00B4738A"/>
    <w:rsid w:val="00B47BB0"/>
    <w:rsid w:val="00B61299"/>
    <w:rsid w:val="00B64F8C"/>
    <w:rsid w:val="00B66C28"/>
    <w:rsid w:val="00B80847"/>
    <w:rsid w:val="00B846F4"/>
    <w:rsid w:val="00B85F75"/>
    <w:rsid w:val="00B9183B"/>
    <w:rsid w:val="00B92483"/>
    <w:rsid w:val="00B9692B"/>
    <w:rsid w:val="00BB5883"/>
    <w:rsid w:val="00BB7ADB"/>
    <w:rsid w:val="00BC76F4"/>
    <w:rsid w:val="00BD02D5"/>
    <w:rsid w:val="00BD04CF"/>
    <w:rsid w:val="00BD76F6"/>
    <w:rsid w:val="00BE1E3F"/>
    <w:rsid w:val="00C00318"/>
    <w:rsid w:val="00C10CF7"/>
    <w:rsid w:val="00C22B4C"/>
    <w:rsid w:val="00C32D46"/>
    <w:rsid w:val="00C4066D"/>
    <w:rsid w:val="00C45CFE"/>
    <w:rsid w:val="00C50DAF"/>
    <w:rsid w:val="00C5212A"/>
    <w:rsid w:val="00C64064"/>
    <w:rsid w:val="00C721A6"/>
    <w:rsid w:val="00C7578E"/>
    <w:rsid w:val="00C80483"/>
    <w:rsid w:val="00C952D3"/>
    <w:rsid w:val="00CA7E09"/>
    <w:rsid w:val="00CB4086"/>
    <w:rsid w:val="00CB5FD3"/>
    <w:rsid w:val="00CB6182"/>
    <w:rsid w:val="00CB6E58"/>
    <w:rsid w:val="00CC049A"/>
    <w:rsid w:val="00CC6B60"/>
    <w:rsid w:val="00CC7A23"/>
    <w:rsid w:val="00CD529D"/>
    <w:rsid w:val="00CD60EF"/>
    <w:rsid w:val="00CE6FBF"/>
    <w:rsid w:val="00CF2491"/>
    <w:rsid w:val="00CF3824"/>
    <w:rsid w:val="00D06315"/>
    <w:rsid w:val="00D10D5A"/>
    <w:rsid w:val="00D15D17"/>
    <w:rsid w:val="00D2120A"/>
    <w:rsid w:val="00D22863"/>
    <w:rsid w:val="00D25727"/>
    <w:rsid w:val="00D273F4"/>
    <w:rsid w:val="00D31F58"/>
    <w:rsid w:val="00D50134"/>
    <w:rsid w:val="00D516B2"/>
    <w:rsid w:val="00D61E5F"/>
    <w:rsid w:val="00D66049"/>
    <w:rsid w:val="00D669A7"/>
    <w:rsid w:val="00D72A50"/>
    <w:rsid w:val="00D7377D"/>
    <w:rsid w:val="00D77EC0"/>
    <w:rsid w:val="00D817EF"/>
    <w:rsid w:val="00D90394"/>
    <w:rsid w:val="00D907A8"/>
    <w:rsid w:val="00DA4449"/>
    <w:rsid w:val="00DB3E64"/>
    <w:rsid w:val="00DB4FB5"/>
    <w:rsid w:val="00DD2410"/>
    <w:rsid w:val="00DD3F7C"/>
    <w:rsid w:val="00DE1CD6"/>
    <w:rsid w:val="00DE47C3"/>
    <w:rsid w:val="00DE64B3"/>
    <w:rsid w:val="00DF06EB"/>
    <w:rsid w:val="00DF1BEA"/>
    <w:rsid w:val="00DF334B"/>
    <w:rsid w:val="00E031FD"/>
    <w:rsid w:val="00E060CE"/>
    <w:rsid w:val="00E06B56"/>
    <w:rsid w:val="00E07B08"/>
    <w:rsid w:val="00E13984"/>
    <w:rsid w:val="00E6407E"/>
    <w:rsid w:val="00E77603"/>
    <w:rsid w:val="00E82F7C"/>
    <w:rsid w:val="00E951E1"/>
    <w:rsid w:val="00E963C4"/>
    <w:rsid w:val="00E9675F"/>
    <w:rsid w:val="00EA0459"/>
    <w:rsid w:val="00EA785B"/>
    <w:rsid w:val="00EB34AA"/>
    <w:rsid w:val="00ED5566"/>
    <w:rsid w:val="00EE2F79"/>
    <w:rsid w:val="00EE3B35"/>
    <w:rsid w:val="00EE514C"/>
    <w:rsid w:val="00EF040B"/>
    <w:rsid w:val="00EF0453"/>
    <w:rsid w:val="00F0252E"/>
    <w:rsid w:val="00F20784"/>
    <w:rsid w:val="00F21199"/>
    <w:rsid w:val="00F215A7"/>
    <w:rsid w:val="00F24560"/>
    <w:rsid w:val="00F31292"/>
    <w:rsid w:val="00F3786C"/>
    <w:rsid w:val="00F41579"/>
    <w:rsid w:val="00F723A6"/>
    <w:rsid w:val="00F87713"/>
    <w:rsid w:val="00F920DB"/>
    <w:rsid w:val="00F959A0"/>
    <w:rsid w:val="00F964FD"/>
    <w:rsid w:val="00F96EBB"/>
    <w:rsid w:val="00FA1CF3"/>
    <w:rsid w:val="00FA6669"/>
    <w:rsid w:val="00FC159D"/>
    <w:rsid w:val="00FC345D"/>
    <w:rsid w:val="00FD4B95"/>
    <w:rsid w:val="00FE2073"/>
    <w:rsid w:val="00FE638E"/>
    <w:rsid w:val="00FE682B"/>
    <w:rsid w:val="00FF0DAC"/>
    <w:rsid w:val="00FF6C62"/>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CB946"/>
  <w15:docId w15:val="{C7582E55-8230-0843-B28E-1408D9447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BodyText"/>
    <w:uiPriority w:val="9"/>
    <w:qFormat/>
    <w:pPr>
      <w:keepNext/>
      <w:keepLines/>
      <w:spacing w:before="480" w:after="0"/>
      <w:outlineLvl w:val="0"/>
    </w:pPr>
    <w:rPr>
      <w:rFonts w:asciiTheme="majorHAnsi" w:eastAsiaTheme="majorEastAsia" w:hAnsiTheme="majorHAnsi" w:cstheme="majorBidi"/>
      <w:b/>
      <w:bCs/>
      <w:color w:val="4F81BD" w:themeColor="accent1"/>
      <w:sz w:val="32"/>
      <w:szCs w:val="32"/>
    </w:rPr>
  </w:style>
  <w:style w:type="paragraph" w:styleId="Heading2">
    <w:name w:val="heading 2"/>
    <w:basedOn w:val="Normal"/>
    <w:next w:val="BodyText"/>
    <w:uiPriority w:val="9"/>
    <w:unhideWhenUsed/>
    <w:qFormat/>
    <w:pPr>
      <w:keepNext/>
      <w:keepLines/>
      <w:spacing w:before="200" w:after="0"/>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BodyText"/>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BodyText"/>
    <w:uiPriority w:val="9"/>
    <w:unhideWhenUsed/>
    <w:qFormat/>
    <w:pPr>
      <w:keepNext/>
      <w:keepLines/>
      <w:spacing w:before="200" w:after="0"/>
      <w:outlineLvl w:val="3"/>
    </w:pPr>
    <w:rPr>
      <w:rFonts w:asciiTheme="majorHAnsi" w:eastAsiaTheme="majorEastAsia" w:hAnsiTheme="majorHAnsi" w:cstheme="majorBidi"/>
      <w:bCs/>
      <w:i/>
      <w:color w:val="4F81BD" w:themeColor="accent1"/>
    </w:rPr>
  </w:style>
  <w:style w:type="paragraph" w:styleId="Heading5">
    <w:name w:val="heading 5"/>
    <w:basedOn w:val="Normal"/>
    <w:next w:val="BodyText"/>
    <w:uiPriority w:val="9"/>
    <w:unhideWhenUsed/>
    <w:qFormat/>
    <w:pPr>
      <w:keepNext/>
      <w:keepLines/>
      <w:spacing w:before="200" w:after="0"/>
      <w:outlineLvl w:val="4"/>
    </w:pPr>
    <w:rPr>
      <w:rFonts w:asciiTheme="majorHAnsi" w:eastAsiaTheme="majorEastAsia" w:hAnsiTheme="majorHAnsi" w:cstheme="majorBidi"/>
      <w:iCs/>
      <w:color w:val="4F81BD" w:themeColor="accent1"/>
    </w:rPr>
  </w:style>
  <w:style w:type="paragraph" w:styleId="Heading6">
    <w:name w:val="heading 6"/>
    <w:basedOn w:val="Normal"/>
    <w:next w:val="BodyText"/>
    <w:uiPriority w:val="9"/>
    <w:unhideWhenUsed/>
    <w:qFormat/>
    <w:pPr>
      <w:keepNext/>
      <w:keepLines/>
      <w:spacing w:before="200" w:after="0"/>
      <w:outlineLvl w:val="5"/>
    </w:pPr>
    <w:rPr>
      <w:rFonts w:asciiTheme="majorHAnsi" w:eastAsiaTheme="majorEastAsia" w:hAnsiTheme="majorHAnsi" w:cstheme="majorBidi"/>
      <w:color w:val="4F81BD" w:themeColor="accent1"/>
    </w:rPr>
  </w:style>
  <w:style w:type="paragraph" w:styleId="Heading7">
    <w:name w:val="heading 7"/>
    <w:basedOn w:val="Normal"/>
    <w:next w:val="BodyText"/>
    <w:uiPriority w:val="9"/>
    <w:unhideWhenUsed/>
    <w:qFormat/>
    <w:pPr>
      <w:keepNext/>
      <w:keepLines/>
      <w:spacing w:before="200" w:after="0"/>
      <w:outlineLvl w:val="6"/>
    </w:pPr>
    <w:rPr>
      <w:rFonts w:asciiTheme="majorHAnsi" w:eastAsiaTheme="majorEastAsia" w:hAnsiTheme="majorHAnsi" w:cstheme="majorBidi"/>
      <w:color w:val="4F81BD" w:themeColor="accent1"/>
    </w:rPr>
  </w:style>
  <w:style w:type="paragraph" w:styleId="Heading8">
    <w:name w:val="heading 8"/>
    <w:basedOn w:val="Normal"/>
    <w:next w:val="BodyText"/>
    <w:uiPriority w:val="9"/>
    <w:unhideWhenUsed/>
    <w:qFormat/>
    <w:pPr>
      <w:keepNext/>
      <w:keepLines/>
      <w:spacing w:before="200" w:after="0"/>
      <w:outlineLvl w:val="7"/>
    </w:pPr>
    <w:rPr>
      <w:rFonts w:asciiTheme="majorHAnsi" w:eastAsiaTheme="majorEastAsia" w:hAnsiTheme="majorHAnsi" w:cstheme="majorBidi"/>
      <w:color w:val="4F81BD" w:themeColor="accent1"/>
    </w:rPr>
  </w:style>
  <w:style w:type="paragraph" w:styleId="Heading9">
    <w:name w:val="heading 9"/>
    <w:basedOn w:val="Normal"/>
    <w:next w:val="BodyText"/>
    <w:uiPriority w:val="9"/>
    <w:unhideWhenUsed/>
    <w:qFormat/>
    <w:pPr>
      <w:keepNext/>
      <w:keepLines/>
      <w:spacing w:before="200" w:after="0"/>
      <w:outlineLvl w:val="8"/>
    </w:pPr>
    <w:rPr>
      <w:rFonts w:asciiTheme="majorHAnsi" w:eastAsiaTheme="majorEastAsia" w:hAnsiTheme="majorHAnsi" w:cstheme="majorBidi"/>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qFormat/>
    <w:pPr>
      <w:spacing w:before="180" w:after="180"/>
    </w:pPr>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BodyText"/>
    <w:qFormat/>
    <w:pPr>
      <w:spacing w:before="240"/>
    </w:pPr>
    <w:rPr>
      <w:sz w:val="30"/>
      <w:szCs w:val="30"/>
    </w:rPr>
  </w:style>
  <w:style w:type="paragraph" w:customStyle="1" w:styleId="Author">
    <w:name w:val="Author"/>
    <w:next w:val="BodyText"/>
    <w:qFormat/>
    <w:pPr>
      <w:keepNext/>
      <w:keepLines/>
      <w:jc w:val="center"/>
    </w:pPr>
  </w:style>
  <w:style w:type="paragraph" w:styleId="Date">
    <w:name w:val="Date"/>
    <w:next w:val="BodyText"/>
    <w:qFormat/>
    <w:pPr>
      <w:keepNext/>
      <w:keepLines/>
      <w:jc w:val="center"/>
    </w:pPr>
  </w:style>
  <w:style w:type="paragraph" w:customStyle="1" w:styleId="Abstract">
    <w:name w:val="Abstract"/>
    <w:basedOn w:val="Normal"/>
    <w:next w:val="BodyText"/>
    <w:qFormat/>
    <w:pPr>
      <w:keepNext/>
      <w:keepLines/>
      <w:spacing w:before="300" w:after="300"/>
    </w:pPr>
    <w:rPr>
      <w:sz w:val="20"/>
      <w:szCs w:val="20"/>
    </w:rPr>
  </w:style>
  <w:style w:type="paragraph" w:styleId="Bibliography">
    <w:name w:val="Bibliography"/>
    <w:basedOn w:val="Normal"/>
    <w:qFormat/>
  </w:style>
  <w:style w:type="paragraph" w:styleId="BlockText">
    <w:name w:val="Block Text"/>
    <w:basedOn w:val="BodyText"/>
    <w:next w:val="BodyText"/>
    <w:uiPriority w:val="9"/>
    <w:unhideWhenUsed/>
    <w:qFormat/>
    <w:pPr>
      <w:spacing w:before="100" w:after="100"/>
      <w:ind w:left="480" w:right="480"/>
    </w:pPr>
  </w:style>
  <w:style w:type="paragraph" w:styleId="FootnoteText">
    <w:name w:val="footnote text"/>
    <w:basedOn w:val="Normal"/>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tblStylePr w:type="firstRow">
      <w:tblPr>
        <w:jc w:val="left"/>
      </w:tblPr>
      <w:trPr>
        <w:jc w:val="left"/>
      </w:trPr>
      <w:tcPr>
        <w:tcBorders>
          <w:bottom w:val="single" w:sz="0" w:space="0" w:color="auto"/>
        </w:tcBorders>
        <w:vAlign w:val="bottom"/>
      </w:tcPr>
    </w:tblStylePr>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Caption">
    <w:name w:val="caption"/>
    <w:basedOn w:val="Normal"/>
    <w:link w:val="CaptionChar"/>
    <w:pPr>
      <w:spacing w:after="120"/>
    </w:pPr>
    <w:rPr>
      <w:i/>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style>
  <w:style w:type="paragraph" w:customStyle="1" w:styleId="CaptionedFigure">
    <w:name w:val="Captioned Figure"/>
    <w:basedOn w:val="Figure"/>
    <w:pPr>
      <w:keepNext/>
    </w:pPr>
  </w:style>
  <w:style w:type="character" w:customStyle="1" w:styleId="CaptionChar">
    <w:name w:val="Caption Char"/>
    <w:basedOn w:val="DefaultParagraphFont"/>
    <w:link w:val="Caption"/>
  </w:style>
  <w:style w:type="character" w:customStyle="1" w:styleId="VerbatimChar">
    <w:name w:val="Verbatim Char"/>
    <w:basedOn w:val="CaptionChar"/>
    <w:link w:val="SourceCode"/>
    <w:rPr>
      <w:rFonts w:ascii="Consolas" w:hAnsi="Consolas"/>
      <w:sz w:val="22"/>
    </w:rPr>
  </w:style>
  <w:style w:type="character" w:customStyle="1" w:styleId="SectionNumber">
    <w:name w:val="Section Number"/>
    <w:basedOn w:val="CaptionChar"/>
  </w:style>
  <w:style w:type="character" w:styleId="FootnoteReference">
    <w:name w:val="footnote reference"/>
    <w:basedOn w:val="CaptionChar"/>
    <w:rPr>
      <w:vertAlign w:val="superscript"/>
    </w:rPr>
  </w:style>
  <w:style w:type="character" w:styleId="Hyperlink">
    <w:name w:val="Hyperlink"/>
    <w:basedOn w:val="CaptionChar"/>
    <w:rPr>
      <w:color w:val="4F81BD" w:themeColor="accent1"/>
    </w:rPr>
  </w:style>
  <w:style w:type="paragraph" w:styleId="TOCHeading">
    <w:name w:val="TOC Heading"/>
    <w:basedOn w:val="Heading1"/>
    <w:next w:val="BodyText"/>
    <w:uiPriority w:val="39"/>
    <w:unhideWhenUsed/>
    <w:qFormat/>
    <w:pPr>
      <w:spacing w:before="240" w:line="259" w:lineRule="auto"/>
      <w:outlineLvl w:val="9"/>
    </w:pPr>
    <w:rPr>
      <w:b w:val="0"/>
      <w:bCs w:val="0"/>
      <w:color w:val="365F91" w:themeColor="accent1" w:themeShade="BF"/>
    </w:rPr>
  </w:style>
  <w:style w:type="paragraph" w:customStyle="1" w:styleId="SourceCode">
    <w:name w:val="Source Code"/>
    <w:basedOn w:val="Normal"/>
    <w:link w:val="VerbatimChar"/>
    <w:pPr>
      <w:wordWrap w:val="0"/>
    </w:pPr>
  </w:style>
  <w:style w:type="character" w:customStyle="1" w:styleId="KeywordTok">
    <w:name w:val="KeywordTok"/>
    <w:basedOn w:val="VerbatimChar"/>
    <w:rPr>
      <w:rFonts w:ascii="Consolas" w:hAnsi="Consolas"/>
      <w:b/>
      <w:color w:val="007020"/>
      <w:sz w:val="22"/>
    </w:rPr>
  </w:style>
  <w:style w:type="character" w:customStyle="1" w:styleId="DataTypeTok">
    <w:name w:val="DataTypeTok"/>
    <w:basedOn w:val="VerbatimChar"/>
    <w:rPr>
      <w:rFonts w:ascii="Consolas" w:hAnsi="Consolas"/>
      <w:color w:val="902000"/>
      <w:sz w:val="22"/>
    </w:rPr>
  </w:style>
  <w:style w:type="character" w:customStyle="1" w:styleId="DecValTok">
    <w:name w:val="DecValTok"/>
    <w:basedOn w:val="VerbatimChar"/>
    <w:rPr>
      <w:rFonts w:ascii="Consolas" w:hAnsi="Consolas"/>
      <w:color w:val="40A070"/>
      <w:sz w:val="22"/>
    </w:rPr>
  </w:style>
  <w:style w:type="character" w:customStyle="1" w:styleId="BaseNTok">
    <w:name w:val="BaseNTok"/>
    <w:basedOn w:val="VerbatimChar"/>
    <w:rPr>
      <w:rFonts w:ascii="Consolas" w:hAnsi="Consolas"/>
      <w:color w:val="40A070"/>
      <w:sz w:val="22"/>
    </w:rPr>
  </w:style>
  <w:style w:type="character" w:customStyle="1" w:styleId="FloatTok">
    <w:name w:val="FloatTok"/>
    <w:basedOn w:val="VerbatimChar"/>
    <w:rPr>
      <w:rFonts w:ascii="Consolas" w:hAnsi="Consolas"/>
      <w:color w:val="40A070"/>
      <w:sz w:val="22"/>
    </w:rPr>
  </w:style>
  <w:style w:type="character" w:customStyle="1" w:styleId="ConstantTok">
    <w:name w:val="ConstantTok"/>
    <w:basedOn w:val="VerbatimChar"/>
    <w:rPr>
      <w:rFonts w:ascii="Consolas" w:hAnsi="Consolas"/>
      <w:color w:val="880000"/>
      <w:sz w:val="22"/>
    </w:rPr>
  </w:style>
  <w:style w:type="character" w:customStyle="1" w:styleId="CharTok">
    <w:name w:val="CharTok"/>
    <w:basedOn w:val="VerbatimChar"/>
    <w:rPr>
      <w:rFonts w:ascii="Consolas" w:hAnsi="Consolas"/>
      <w:color w:val="4070A0"/>
      <w:sz w:val="22"/>
    </w:rPr>
  </w:style>
  <w:style w:type="character" w:customStyle="1" w:styleId="SpecialCharTok">
    <w:name w:val="SpecialCharTok"/>
    <w:basedOn w:val="VerbatimChar"/>
    <w:rPr>
      <w:rFonts w:ascii="Consolas" w:hAnsi="Consolas"/>
      <w:color w:val="4070A0"/>
      <w:sz w:val="22"/>
    </w:rPr>
  </w:style>
  <w:style w:type="character" w:customStyle="1" w:styleId="StringTok">
    <w:name w:val="StringTok"/>
    <w:basedOn w:val="VerbatimChar"/>
    <w:rPr>
      <w:rFonts w:ascii="Consolas" w:hAnsi="Consolas"/>
      <w:color w:val="4070A0"/>
      <w:sz w:val="22"/>
    </w:rPr>
  </w:style>
  <w:style w:type="character" w:customStyle="1" w:styleId="VerbatimStringTok">
    <w:name w:val="VerbatimStringTok"/>
    <w:basedOn w:val="VerbatimChar"/>
    <w:rPr>
      <w:rFonts w:ascii="Consolas" w:hAnsi="Consolas"/>
      <w:color w:val="4070A0"/>
      <w:sz w:val="22"/>
    </w:rPr>
  </w:style>
  <w:style w:type="character" w:customStyle="1" w:styleId="SpecialStringTok">
    <w:name w:val="SpecialStringTok"/>
    <w:basedOn w:val="VerbatimChar"/>
    <w:rPr>
      <w:rFonts w:ascii="Consolas" w:hAnsi="Consolas"/>
      <w:color w:val="BB6688"/>
      <w:sz w:val="22"/>
    </w:rPr>
  </w:style>
  <w:style w:type="character" w:customStyle="1" w:styleId="ImportTok">
    <w:name w:val="ImportTok"/>
    <w:basedOn w:val="VerbatimChar"/>
    <w:rPr>
      <w:rFonts w:ascii="Consolas" w:hAnsi="Consolas"/>
      <w:b/>
      <w:color w:val="008000"/>
      <w:sz w:val="22"/>
    </w:rPr>
  </w:style>
  <w:style w:type="character" w:customStyle="1" w:styleId="CommentTok">
    <w:name w:val="CommentTok"/>
    <w:basedOn w:val="VerbatimChar"/>
    <w:rPr>
      <w:rFonts w:ascii="Consolas" w:hAnsi="Consolas"/>
      <w:i/>
      <w:color w:val="60A0B0"/>
      <w:sz w:val="22"/>
    </w:rPr>
  </w:style>
  <w:style w:type="character" w:customStyle="1" w:styleId="DocumentationTok">
    <w:name w:val="DocumentationTok"/>
    <w:basedOn w:val="VerbatimChar"/>
    <w:rPr>
      <w:rFonts w:ascii="Consolas" w:hAnsi="Consolas"/>
      <w:i/>
      <w:color w:val="BA2121"/>
      <w:sz w:val="22"/>
    </w:rPr>
  </w:style>
  <w:style w:type="character" w:customStyle="1" w:styleId="AnnotationTok">
    <w:name w:val="AnnotationTok"/>
    <w:basedOn w:val="VerbatimChar"/>
    <w:rPr>
      <w:rFonts w:ascii="Consolas" w:hAnsi="Consolas"/>
      <w:b/>
      <w:i/>
      <w:color w:val="60A0B0"/>
      <w:sz w:val="22"/>
    </w:rPr>
  </w:style>
  <w:style w:type="character" w:customStyle="1" w:styleId="CommentVarTok">
    <w:name w:val="CommentVarTok"/>
    <w:basedOn w:val="VerbatimChar"/>
    <w:rPr>
      <w:rFonts w:ascii="Consolas" w:hAnsi="Consolas"/>
      <w:b/>
      <w:i/>
      <w:color w:val="60A0B0"/>
      <w:sz w:val="22"/>
    </w:rPr>
  </w:style>
  <w:style w:type="character" w:customStyle="1" w:styleId="OtherTok">
    <w:name w:val="OtherTok"/>
    <w:basedOn w:val="VerbatimChar"/>
    <w:rPr>
      <w:rFonts w:ascii="Consolas" w:hAnsi="Consolas"/>
      <w:color w:val="007020"/>
      <w:sz w:val="22"/>
    </w:rPr>
  </w:style>
  <w:style w:type="character" w:customStyle="1" w:styleId="FunctionTok">
    <w:name w:val="FunctionTok"/>
    <w:basedOn w:val="VerbatimChar"/>
    <w:rPr>
      <w:rFonts w:ascii="Consolas" w:hAnsi="Consolas"/>
      <w:color w:val="06287E"/>
      <w:sz w:val="22"/>
    </w:rPr>
  </w:style>
  <w:style w:type="character" w:customStyle="1" w:styleId="VariableTok">
    <w:name w:val="VariableTok"/>
    <w:basedOn w:val="VerbatimChar"/>
    <w:rPr>
      <w:rFonts w:ascii="Consolas" w:hAnsi="Consolas"/>
      <w:color w:val="19177C"/>
      <w:sz w:val="22"/>
    </w:rPr>
  </w:style>
  <w:style w:type="character" w:customStyle="1" w:styleId="ControlFlowTok">
    <w:name w:val="ControlFlowTok"/>
    <w:basedOn w:val="VerbatimChar"/>
    <w:rPr>
      <w:rFonts w:ascii="Consolas" w:hAnsi="Consolas"/>
      <w:b/>
      <w:color w:val="007020"/>
      <w:sz w:val="22"/>
    </w:rPr>
  </w:style>
  <w:style w:type="character" w:customStyle="1" w:styleId="OperatorTok">
    <w:name w:val="OperatorTok"/>
    <w:basedOn w:val="VerbatimChar"/>
    <w:rPr>
      <w:rFonts w:ascii="Consolas" w:hAnsi="Consolas"/>
      <w:color w:val="666666"/>
      <w:sz w:val="22"/>
    </w:rPr>
  </w:style>
  <w:style w:type="character" w:customStyle="1" w:styleId="BuiltInTok">
    <w:name w:val="BuiltInTok"/>
    <w:basedOn w:val="VerbatimChar"/>
    <w:rPr>
      <w:rFonts w:ascii="Consolas" w:hAnsi="Consolas"/>
      <w:color w:val="008000"/>
      <w:sz w:val="22"/>
    </w:rPr>
  </w:style>
  <w:style w:type="character" w:customStyle="1" w:styleId="ExtensionTok">
    <w:name w:val="ExtensionTok"/>
    <w:basedOn w:val="VerbatimChar"/>
    <w:rPr>
      <w:rFonts w:ascii="Consolas" w:hAnsi="Consolas"/>
      <w:sz w:val="22"/>
    </w:rPr>
  </w:style>
  <w:style w:type="character" w:customStyle="1" w:styleId="PreprocessorTok">
    <w:name w:val="PreprocessorTok"/>
    <w:basedOn w:val="VerbatimChar"/>
    <w:rPr>
      <w:rFonts w:ascii="Consolas" w:hAnsi="Consolas"/>
      <w:color w:val="BC7A00"/>
      <w:sz w:val="22"/>
    </w:rPr>
  </w:style>
  <w:style w:type="character" w:customStyle="1" w:styleId="AttributeTok">
    <w:name w:val="AttributeTok"/>
    <w:basedOn w:val="VerbatimChar"/>
    <w:rPr>
      <w:rFonts w:ascii="Consolas" w:hAnsi="Consolas"/>
      <w:color w:val="7D9029"/>
      <w:sz w:val="22"/>
    </w:rPr>
  </w:style>
  <w:style w:type="character" w:customStyle="1" w:styleId="RegionMarkerTok">
    <w:name w:val="RegionMarkerTok"/>
    <w:basedOn w:val="VerbatimChar"/>
    <w:rPr>
      <w:rFonts w:ascii="Consolas" w:hAnsi="Consolas"/>
      <w:sz w:val="22"/>
    </w:rPr>
  </w:style>
  <w:style w:type="character" w:customStyle="1" w:styleId="InformationTok">
    <w:name w:val="InformationTok"/>
    <w:basedOn w:val="VerbatimChar"/>
    <w:rPr>
      <w:rFonts w:ascii="Consolas" w:hAnsi="Consolas"/>
      <w:b/>
      <w:i/>
      <w:color w:val="60A0B0"/>
      <w:sz w:val="22"/>
    </w:rPr>
  </w:style>
  <w:style w:type="character" w:customStyle="1" w:styleId="WarningTok">
    <w:name w:val="WarningTok"/>
    <w:basedOn w:val="VerbatimChar"/>
    <w:rPr>
      <w:rFonts w:ascii="Consolas" w:hAnsi="Consolas"/>
      <w:b/>
      <w:i/>
      <w:color w:val="60A0B0"/>
      <w:sz w:val="22"/>
    </w:rPr>
  </w:style>
  <w:style w:type="character" w:customStyle="1" w:styleId="AlertTok">
    <w:name w:val="AlertTok"/>
    <w:basedOn w:val="VerbatimChar"/>
    <w:rPr>
      <w:rFonts w:ascii="Consolas" w:hAnsi="Consolas"/>
      <w:b/>
      <w:color w:val="FF0000"/>
      <w:sz w:val="22"/>
    </w:rPr>
  </w:style>
  <w:style w:type="character" w:customStyle="1" w:styleId="ErrorTok">
    <w:name w:val="ErrorTok"/>
    <w:basedOn w:val="VerbatimChar"/>
    <w:rPr>
      <w:rFonts w:ascii="Consolas" w:hAnsi="Consolas"/>
      <w:b/>
      <w:color w:val="FF0000"/>
      <w:sz w:val="22"/>
    </w:rPr>
  </w:style>
  <w:style w:type="character" w:customStyle="1" w:styleId="NormalTok">
    <w:name w:val="NormalTok"/>
    <w:basedOn w:val="VerbatimChar"/>
    <w:rPr>
      <w:rFonts w:ascii="Consolas" w:hAnsi="Consolas"/>
      <w:sz w:val="22"/>
    </w:rPr>
  </w:style>
  <w:style w:type="paragraph" w:styleId="Footer">
    <w:name w:val="footer"/>
    <w:basedOn w:val="Normal"/>
    <w:link w:val="FooterChar"/>
    <w:unhideWhenUsed/>
    <w:rsid w:val="007C5A6D"/>
    <w:pPr>
      <w:tabs>
        <w:tab w:val="center" w:pos="4680"/>
        <w:tab w:val="right" w:pos="9360"/>
      </w:tabs>
      <w:spacing w:after="0"/>
    </w:pPr>
  </w:style>
  <w:style w:type="character" w:customStyle="1" w:styleId="FooterChar">
    <w:name w:val="Footer Char"/>
    <w:basedOn w:val="DefaultParagraphFont"/>
    <w:link w:val="Footer"/>
    <w:rsid w:val="007C5A6D"/>
  </w:style>
  <w:style w:type="character" w:styleId="PageNumber">
    <w:name w:val="page number"/>
    <w:basedOn w:val="DefaultParagraphFont"/>
    <w:semiHidden/>
    <w:unhideWhenUsed/>
    <w:rsid w:val="007C5A6D"/>
  </w:style>
  <w:style w:type="paragraph" w:styleId="Header">
    <w:name w:val="header"/>
    <w:basedOn w:val="Normal"/>
    <w:link w:val="HeaderChar"/>
    <w:unhideWhenUsed/>
    <w:rsid w:val="007C5A6D"/>
    <w:pPr>
      <w:tabs>
        <w:tab w:val="center" w:pos="4680"/>
        <w:tab w:val="right" w:pos="9360"/>
      </w:tabs>
      <w:spacing w:after="0"/>
    </w:pPr>
  </w:style>
  <w:style w:type="character" w:customStyle="1" w:styleId="HeaderChar">
    <w:name w:val="Header Char"/>
    <w:basedOn w:val="DefaultParagraphFont"/>
    <w:link w:val="Header"/>
    <w:rsid w:val="007C5A6D"/>
  </w:style>
  <w:style w:type="paragraph" w:styleId="Revision">
    <w:name w:val="Revision"/>
    <w:hidden/>
    <w:semiHidden/>
    <w:rsid w:val="00432562"/>
    <w:pPr>
      <w:spacing w:after="0"/>
    </w:pPr>
  </w:style>
  <w:style w:type="character" w:styleId="UnresolvedMention">
    <w:name w:val="Unresolved Mention"/>
    <w:basedOn w:val="DefaultParagraphFont"/>
    <w:uiPriority w:val="99"/>
    <w:semiHidden/>
    <w:unhideWhenUsed/>
    <w:rsid w:val="00FD4B95"/>
    <w:rPr>
      <w:color w:val="605E5C"/>
      <w:shd w:val="clear" w:color="auto" w:fill="E1DFDD"/>
    </w:rPr>
  </w:style>
  <w:style w:type="character" w:styleId="CommentReference">
    <w:name w:val="annotation reference"/>
    <w:basedOn w:val="DefaultParagraphFont"/>
    <w:semiHidden/>
    <w:unhideWhenUsed/>
    <w:rsid w:val="00792DB8"/>
    <w:rPr>
      <w:sz w:val="16"/>
      <w:szCs w:val="16"/>
    </w:rPr>
  </w:style>
  <w:style w:type="paragraph" w:styleId="CommentText">
    <w:name w:val="annotation text"/>
    <w:basedOn w:val="Normal"/>
    <w:link w:val="CommentTextChar"/>
    <w:semiHidden/>
    <w:unhideWhenUsed/>
    <w:rsid w:val="00792DB8"/>
    <w:rPr>
      <w:sz w:val="20"/>
      <w:szCs w:val="20"/>
    </w:rPr>
  </w:style>
  <w:style w:type="character" w:customStyle="1" w:styleId="CommentTextChar">
    <w:name w:val="Comment Text Char"/>
    <w:basedOn w:val="DefaultParagraphFont"/>
    <w:link w:val="CommentText"/>
    <w:semiHidden/>
    <w:rsid w:val="00792DB8"/>
    <w:rPr>
      <w:sz w:val="20"/>
      <w:szCs w:val="20"/>
    </w:rPr>
  </w:style>
  <w:style w:type="paragraph" w:styleId="CommentSubject">
    <w:name w:val="annotation subject"/>
    <w:basedOn w:val="CommentText"/>
    <w:next w:val="CommentText"/>
    <w:link w:val="CommentSubjectChar"/>
    <w:semiHidden/>
    <w:unhideWhenUsed/>
    <w:rsid w:val="00792DB8"/>
    <w:rPr>
      <w:b/>
      <w:bCs/>
    </w:rPr>
  </w:style>
  <w:style w:type="character" w:customStyle="1" w:styleId="CommentSubjectChar">
    <w:name w:val="Comment Subject Char"/>
    <w:basedOn w:val="CommentTextChar"/>
    <w:link w:val="CommentSubject"/>
    <w:semiHidden/>
    <w:rsid w:val="00792DB8"/>
    <w:rPr>
      <w:b/>
      <w:bCs/>
      <w:sz w:val="20"/>
      <w:szCs w:val="20"/>
    </w:rPr>
  </w:style>
  <w:style w:type="paragraph" w:styleId="EndnoteText">
    <w:name w:val="endnote text"/>
    <w:basedOn w:val="Normal"/>
    <w:link w:val="EndnoteTextChar"/>
    <w:semiHidden/>
    <w:unhideWhenUsed/>
    <w:rsid w:val="008D6F10"/>
    <w:pPr>
      <w:spacing w:after="0"/>
    </w:pPr>
    <w:rPr>
      <w:sz w:val="20"/>
      <w:szCs w:val="20"/>
    </w:rPr>
  </w:style>
  <w:style w:type="character" w:customStyle="1" w:styleId="EndnoteTextChar">
    <w:name w:val="Endnote Text Char"/>
    <w:basedOn w:val="DefaultParagraphFont"/>
    <w:link w:val="EndnoteText"/>
    <w:semiHidden/>
    <w:rsid w:val="008D6F10"/>
    <w:rPr>
      <w:sz w:val="20"/>
      <w:szCs w:val="20"/>
    </w:rPr>
  </w:style>
  <w:style w:type="character" w:styleId="EndnoteReference">
    <w:name w:val="endnote reference"/>
    <w:basedOn w:val="DefaultParagraphFont"/>
    <w:semiHidden/>
    <w:unhideWhenUsed/>
    <w:rsid w:val="008D6F10"/>
    <w:rPr>
      <w:vertAlign w:val="superscript"/>
    </w:rPr>
  </w:style>
  <w:style w:type="paragraph" w:styleId="NormalWeb">
    <w:name w:val="Normal (Web)"/>
    <w:basedOn w:val="Normal"/>
    <w:semiHidden/>
    <w:unhideWhenUsed/>
    <w:rsid w:val="000250DF"/>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953082">
      <w:bodyDiv w:val="1"/>
      <w:marLeft w:val="0"/>
      <w:marRight w:val="0"/>
      <w:marTop w:val="0"/>
      <w:marBottom w:val="0"/>
      <w:divBdr>
        <w:top w:val="none" w:sz="0" w:space="0" w:color="auto"/>
        <w:left w:val="none" w:sz="0" w:space="0" w:color="auto"/>
        <w:bottom w:val="none" w:sz="0" w:space="0" w:color="auto"/>
        <w:right w:val="none" w:sz="0" w:space="0" w:color="auto"/>
      </w:divBdr>
      <w:divsChild>
        <w:div w:id="864320167">
          <w:marLeft w:val="0"/>
          <w:marRight w:val="0"/>
          <w:marTop w:val="0"/>
          <w:marBottom w:val="0"/>
          <w:divBdr>
            <w:top w:val="none" w:sz="0" w:space="0" w:color="auto"/>
            <w:left w:val="none" w:sz="0" w:space="0" w:color="auto"/>
            <w:bottom w:val="none" w:sz="0" w:space="0" w:color="auto"/>
            <w:right w:val="none" w:sz="0" w:space="0" w:color="auto"/>
          </w:divBdr>
          <w:divsChild>
            <w:div w:id="1537963901">
              <w:marLeft w:val="0"/>
              <w:marRight w:val="0"/>
              <w:marTop w:val="0"/>
              <w:marBottom w:val="0"/>
              <w:divBdr>
                <w:top w:val="none" w:sz="0" w:space="0" w:color="auto"/>
                <w:left w:val="none" w:sz="0" w:space="0" w:color="auto"/>
                <w:bottom w:val="none" w:sz="0" w:space="0" w:color="auto"/>
                <w:right w:val="none" w:sz="0" w:space="0" w:color="auto"/>
              </w:divBdr>
              <w:divsChild>
                <w:div w:id="817191795">
                  <w:marLeft w:val="0"/>
                  <w:marRight w:val="0"/>
                  <w:marTop w:val="0"/>
                  <w:marBottom w:val="0"/>
                  <w:divBdr>
                    <w:top w:val="none" w:sz="0" w:space="0" w:color="auto"/>
                    <w:left w:val="none" w:sz="0" w:space="0" w:color="auto"/>
                    <w:bottom w:val="none" w:sz="0" w:space="0" w:color="auto"/>
                    <w:right w:val="none" w:sz="0" w:space="0" w:color="auto"/>
                  </w:divBdr>
                  <w:divsChild>
                    <w:div w:id="78007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171632">
      <w:bodyDiv w:val="1"/>
      <w:marLeft w:val="0"/>
      <w:marRight w:val="0"/>
      <w:marTop w:val="0"/>
      <w:marBottom w:val="0"/>
      <w:divBdr>
        <w:top w:val="none" w:sz="0" w:space="0" w:color="auto"/>
        <w:left w:val="none" w:sz="0" w:space="0" w:color="auto"/>
        <w:bottom w:val="none" w:sz="0" w:space="0" w:color="auto"/>
        <w:right w:val="none" w:sz="0" w:space="0" w:color="auto"/>
      </w:divBdr>
      <w:divsChild>
        <w:div w:id="1060712398">
          <w:marLeft w:val="0"/>
          <w:marRight w:val="0"/>
          <w:marTop w:val="0"/>
          <w:marBottom w:val="0"/>
          <w:divBdr>
            <w:top w:val="none" w:sz="0" w:space="0" w:color="auto"/>
            <w:left w:val="none" w:sz="0" w:space="0" w:color="auto"/>
            <w:bottom w:val="none" w:sz="0" w:space="0" w:color="auto"/>
            <w:right w:val="none" w:sz="0" w:space="0" w:color="auto"/>
          </w:divBdr>
          <w:divsChild>
            <w:div w:id="179008368">
              <w:marLeft w:val="0"/>
              <w:marRight w:val="0"/>
              <w:marTop w:val="0"/>
              <w:marBottom w:val="0"/>
              <w:divBdr>
                <w:top w:val="none" w:sz="0" w:space="0" w:color="auto"/>
                <w:left w:val="none" w:sz="0" w:space="0" w:color="auto"/>
                <w:bottom w:val="none" w:sz="0" w:space="0" w:color="auto"/>
                <w:right w:val="none" w:sz="0" w:space="0" w:color="auto"/>
              </w:divBdr>
              <w:divsChild>
                <w:div w:id="584149914">
                  <w:marLeft w:val="0"/>
                  <w:marRight w:val="0"/>
                  <w:marTop w:val="0"/>
                  <w:marBottom w:val="0"/>
                  <w:divBdr>
                    <w:top w:val="none" w:sz="0" w:space="0" w:color="auto"/>
                    <w:left w:val="none" w:sz="0" w:space="0" w:color="auto"/>
                    <w:bottom w:val="none" w:sz="0" w:space="0" w:color="auto"/>
                    <w:right w:val="none" w:sz="0" w:space="0" w:color="auto"/>
                  </w:divBdr>
                  <w:divsChild>
                    <w:div w:id="144797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39488">
      <w:bodyDiv w:val="1"/>
      <w:marLeft w:val="0"/>
      <w:marRight w:val="0"/>
      <w:marTop w:val="0"/>
      <w:marBottom w:val="0"/>
      <w:divBdr>
        <w:top w:val="none" w:sz="0" w:space="0" w:color="auto"/>
        <w:left w:val="none" w:sz="0" w:space="0" w:color="auto"/>
        <w:bottom w:val="none" w:sz="0" w:space="0" w:color="auto"/>
        <w:right w:val="none" w:sz="0" w:space="0" w:color="auto"/>
      </w:divBdr>
    </w:div>
    <w:div w:id="211430453">
      <w:bodyDiv w:val="1"/>
      <w:marLeft w:val="0"/>
      <w:marRight w:val="0"/>
      <w:marTop w:val="0"/>
      <w:marBottom w:val="0"/>
      <w:divBdr>
        <w:top w:val="none" w:sz="0" w:space="0" w:color="auto"/>
        <w:left w:val="none" w:sz="0" w:space="0" w:color="auto"/>
        <w:bottom w:val="none" w:sz="0" w:space="0" w:color="auto"/>
        <w:right w:val="none" w:sz="0" w:space="0" w:color="auto"/>
      </w:divBdr>
      <w:divsChild>
        <w:div w:id="94594382">
          <w:marLeft w:val="0"/>
          <w:marRight w:val="0"/>
          <w:marTop w:val="0"/>
          <w:marBottom w:val="0"/>
          <w:divBdr>
            <w:top w:val="none" w:sz="0" w:space="0" w:color="auto"/>
            <w:left w:val="none" w:sz="0" w:space="0" w:color="auto"/>
            <w:bottom w:val="none" w:sz="0" w:space="0" w:color="auto"/>
            <w:right w:val="none" w:sz="0" w:space="0" w:color="auto"/>
          </w:divBdr>
          <w:divsChild>
            <w:div w:id="1730572736">
              <w:marLeft w:val="0"/>
              <w:marRight w:val="0"/>
              <w:marTop w:val="0"/>
              <w:marBottom w:val="0"/>
              <w:divBdr>
                <w:top w:val="none" w:sz="0" w:space="0" w:color="auto"/>
                <w:left w:val="none" w:sz="0" w:space="0" w:color="auto"/>
                <w:bottom w:val="none" w:sz="0" w:space="0" w:color="auto"/>
                <w:right w:val="none" w:sz="0" w:space="0" w:color="auto"/>
              </w:divBdr>
              <w:divsChild>
                <w:div w:id="782044100">
                  <w:marLeft w:val="0"/>
                  <w:marRight w:val="0"/>
                  <w:marTop w:val="0"/>
                  <w:marBottom w:val="0"/>
                  <w:divBdr>
                    <w:top w:val="none" w:sz="0" w:space="0" w:color="auto"/>
                    <w:left w:val="none" w:sz="0" w:space="0" w:color="auto"/>
                    <w:bottom w:val="none" w:sz="0" w:space="0" w:color="auto"/>
                    <w:right w:val="none" w:sz="0" w:space="0" w:color="auto"/>
                  </w:divBdr>
                  <w:divsChild>
                    <w:div w:id="76476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5091335">
      <w:bodyDiv w:val="1"/>
      <w:marLeft w:val="0"/>
      <w:marRight w:val="0"/>
      <w:marTop w:val="0"/>
      <w:marBottom w:val="0"/>
      <w:divBdr>
        <w:top w:val="none" w:sz="0" w:space="0" w:color="auto"/>
        <w:left w:val="none" w:sz="0" w:space="0" w:color="auto"/>
        <w:bottom w:val="none" w:sz="0" w:space="0" w:color="auto"/>
        <w:right w:val="none" w:sz="0" w:space="0" w:color="auto"/>
      </w:divBdr>
    </w:div>
    <w:div w:id="609774944">
      <w:bodyDiv w:val="1"/>
      <w:marLeft w:val="0"/>
      <w:marRight w:val="0"/>
      <w:marTop w:val="0"/>
      <w:marBottom w:val="0"/>
      <w:divBdr>
        <w:top w:val="none" w:sz="0" w:space="0" w:color="auto"/>
        <w:left w:val="none" w:sz="0" w:space="0" w:color="auto"/>
        <w:bottom w:val="none" w:sz="0" w:space="0" w:color="auto"/>
        <w:right w:val="none" w:sz="0" w:space="0" w:color="auto"/>
      </w:divBdr>
    </w:div>
    <w:div w:id="939608757">
      <w:bodyDiv w:val="1"/>
      <w:marLeft w:val="0"/>
      <w:marRight w:val="0"/>
      <w:marTop w:val="0"/>
      <w:marBottom w:val="0"/>
      <w:divBdr>
        <w:top w:val="none" w:sz="0" w:space="0" w:color="auto"/>
        <w:left w:val="none" w:sz="0" w:space="0" w:color="auto"/>
        <w:bottom w:val="none" w:sz="0" w:space="0" w:color="auto"/>
        <w:right w:val="none" w:sz="0" w:space="0" w:color="auto"/>
      </w:divBdr>
      <w:divsChild>
        <w:div w:id="477184276">
          <w:marLeft w:val="0"/>
          <w:marRight w:val="0"/>
          <w:marTop w:val="0"/>
          <w:marBottom w:val="0"/>
          <w:divBdr>
            <w:top w:val="none" w:sz="0" w:space="0" w:color="auto"/>
            <w:left w:val="none" w:sz="0" w:space="0" w:color="auto"/>
            <w:bottom w:val="none" w:sz="0" w:space="0" w:color="auto"/>
            <w:right w:val="none" w:sz="0" w:space="0" w:color="auto"/>
          </w:divBdr>
          <w:divsChild>
            <w:div w:id="1597251130">
              <w:marLeft w:val="0"/>
              <w:marRight w:val="0"/>
              <w:marTop w:val="0"/>
              <w:marBottom w:val="0"/>
              <w:divBdr>
                <w:top w:val="none" w:sz="0" w:space="0" w:color="auto"/>
                <w:left w:val="none" w:sz="0" w:space="0" w:color="auto"/>
                <w:bottom w:val="none" w:sz="0" w:space="0" w:color="auto"/>
                <w:right w:val="none" w:sz="0" w:space="0" w:color="auto"/>
              </w:divBdr>
              <w:divsChild>
                <w:div w:id="196700013">
                  <w:marLeft w:val="0"/>
                  <w:marRight w:val="0"/>
                  <w:marTop w:val="0"/>
                  <w:marBottom w:val="0"/>
                  <w:divBdr>
                    <w:top w:val="none" w:sz="0" w:space="0" w:color="auto"/>
                    <w:left w:val="none" w:sz="0" w:space="0" w:color="auto"/>
                    <w:bottom w:val="none" w:sz="0" w:space="0" w:color="auto"/>
                    <w:right w:val="none" w:sz="0" w:space="0" w:color="auto"/>
                  </w:divBdr>
                  <w:divsChild>
                    <w:div w:id="176838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788629">
      <w:bodyDiv w:val="1"/>
      <w:marLeft w:val="0"/>
      <w:marRight w:val="0"/>
      <w:marTop w:val="0"/>
      <w:marBottom w:val="0"/>
      <w:divBdr>
        <w:top w:val="none" w:sz="0" w:space="0" w:color="auto"/>
        <w:left w:val="none" w:sz="0" w:space="0" w:color="auto"/>
        <w:bottom w:val="none" w:sz="0" w:space="0" w:color="auto"/>
        <w:right w:val="none" w:sz="0" w:space="0" w:color="auto"/>
      </w:divBdr>
      <w:divsChild>
        <w:div w:id="937256101">
          <w:marLeft w:val="0"/>
          <w:marRight w:val="0"/>
          <w:marTop w:val="0"/>
          <w:marBottom w:val="0"/>
          <w:divBdr>
            <w:top w:val="none" w:sz="0" w:space="0" w:color="auto"/>
            <w:left w:val="none" w:sz="0" w:space="0" w:color="auto"/>
            <w:bottom w:val="none" w:sz="0" w:space="0" w:color="auto"/>
            <w:right w:val="none" w:sz="0" w:space="0" w:color="auto"/>
          </w:divBdr>
          <w:divsChild>
            <w:div w:id="1370107742">
              <w:marLeft w:val="0"/>
              <w:marRight w:val="0"/>
              <w:marTop w:val="0"/>
              <w:marBottom w:val="0"/>
              <w:divBdr>
                <w:top w:val="none" w:sz="0" w:space="0" w:color="auto"/>
                <w:left w:val="none" w:sz="0" w:space="0" w:color="auto"/>
                <w:bottom w:val="none" w:sz="0" w:space="0" w:color="auto"/>
                <w:right w:val="none" w:sz="0" w:space="0" w:color="auto"/>
              </w:divBdr>
              <w:divsChild>
                <w:div w:id="448400690">
                  <w:marLeft w:val="0"/>
                  <w:marRight w:val="0"/>
                  <w:marTop w:val="0"/>
                  <w:marBottom w:val="0"/>
                  <w:divBdr>
                    <w:top w:val="none" w:sz="0" w:space="0" w:color="auto"/>
                    <w:left w:val="none" w:sz="0" w:space="0" w:color="auto"/>
                    <w:bottom w:val="none" w:sz="0" w:space="0" w:color="auto"/>
                    <w:right w:val="none" w:sz="0" w:space="0" w:color="auto"/>
                  </w:divBdr>
                  <w:divsChild>
                    <w:div w:id="110423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7732020">
      <w:bodyDiv w:val="1"/>
      <w:marLeft w:val="0"/>
      <w:marRight w:val="0"/>
      <w:marTop w:val="0"/>
      <w:marBottom w:val="0"/>
      <w:divBdr>
        <w:top w:val="none" w:sz="0" w:space="0" w:color="auto"/>
        <w:left w:val="none" w:sz="0" w:space="0" w:color="auto"/>
        <w:bottom w:val="none" w:sz="0" w:space="0" w:color="auto"/>
        <w:right w:val="none" w:sz="0" w:space="0" w:color="auto"/>
      </w:divBdr>
      <w:divsChild>
        <w:div w:id="581531001">
          <w:marLeft w:val="0"/>
          <w:marRight w:val="0"/>
          <w:marTop w:val="0"/>
          <w:marBottom w:val="0"/>
          <w:divBdr>
            <w:top w:val="none" w:sz="0" w:space="0" w:color="auto"/>
            <w:left w:val="none" w:sz="0" w:space="0" w:color="auto"/>
            <w:bottom w:val="none" w:sz="0" w:space="0" w:color="auto"/>
            <w:right w:val="none" w:sz="0" w:space="0" w:color="auto"/>
          </w:divBdr>
          <w:divsChild>
            <w:div w:id="554704872">
              <w:marLeft w:val="0"/>
              <w:marRight w:val="0"/>
              <w:marTop w:val="0"/>
              <w:marBottom w:val="0"/>
              <w:divBdr>
                <w:top w:val="none" w:sz="0" w:space="0" w:color="auto"/>
                <w:left w:val="none" w:sz="0" w:space="0" w:color="auto"/>
                <w:bottom w:val="none" w:sz="0" w:space="0" w:color="auto"/>
                <w:right w:val="none" w:sz="0" w:space="0" w:color="auto"/>
              </w:divBdr>
              <w:divsChild>
                <w:div w:id="384109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223462">
      <w:bodyDiv w:val="1"/>
      <w:marLeft w:val="0"/>
      <w:marRight w:val="0"/>
      <w:marTop w:val="0"/>
      <w:marBottom w:val="0"/>
      <w:divBdr>
        <w:top w:val="none" w:sz="0" w:space="0" w:color="auto"/>
        <w:left w:val="none" w:sz="0" w:space="0" w:color="auto"/>
        <w:bottom w:val="none" w:sz="0" w:space="0" w:color="auto"/>
        <w:right w:val="none" w:sz="0" w:space="0" w:color="auto"/>
      </w:divBdr>
      <w:divsChild>
        <w:div w:id="2113358792">
          <w:marLeft w:val="0"/>
          <w:marRight w:val="0"/>
          <w:marTop w:val="0"/>
          <w:marBottom w:val="0"/>
          <w:divBdr>
            <w:top w:val="none" w:sz="0" w:space="0" w:color="auto"/>
            <w:left w:val="none" w:sz="0" w:space="0" w:color="auto"/>
            <w:bottom w:val="none" w:sz="0" w:space="0" w:color="auto"/>
            <w:right w:val="none" w:sz="0" w:space="0" w:color="auto"/>
          </w:divBdr>
          <w:divsChild>
            <w:div w:id="1779056611">
              <w:marLeft w:val="0"/>
              <w:marRight w:val="0"/>
              <w:marTop w:val="0"/>
              <w:marBottom w:val="0"/>
              <w:divBdr>
                <w:top w:val="none" w:sz="0" w:space="0" w:color="auto"/>
                <w:left w:val="none" w:sz="0" w:space="0" w:color="auto"/>
                <w:bottom w:val="none" w:sz="0" w:space="0" w:color="auto"/>
                <w:right w:val="none" w:sz="0" w:space="0" w:color="auto"/>
              </w:divBdr>
              <w:divsChild>
                <w:div w:id="297540105">
                  <w:marLeft w:val="0"/>
                  <w:marRight w:val="0"/>
                  <w:marTop w:val="0"/>
                  <w:marBottom w:val="0"/>
                  <w:divBdr>
                    <w:top w:val="none" w:sz="0" w:space="0" w:color="auto"/>
                    <w:left w:val="none" w:sz="0" w:space="0" w:color="auto"/>
                    <w:bottom w:val="none" w:sz="0" w:space="0" w:color="auto"/>
                    <w:right w:val="none" w:sz="0" w:space="0" w:color="auto"/>
                  </w:divBdr>
                  <w:divsChild>
                    <w:div w:id="82366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9472422">
      <w:bodyDiv w:val="1"/>
      <w:marLeft w:val="0"/>
      <w:marRight w:val="0"/>
      <w:marTop w:val="0"/>
      <w:marBottom w:val="0"/>
      <w:divBdr>
        <w:top w:val="none" w:sz="0" w:space="0" w:color="auto"/>
        <w:left w:val="none" w:sz="0" w:space="0" w:color="auto"/>
        <w:bottom w:val="none" w:sz="0" w:space="0" w:color="auto"/>
        <w:right w:val="none" w:sz="0" w:space="0" w:color="auto"/>
      </w:divBdr>
      <w:divsChild>
        <w:div w:id="361900207">
          <w:marLeft w:val="0"/>
          <w:marRight w:val="0"/>
          <w:marTop w:val="0"/>
          <w:marBottom w:val="0"/>
          <w:divBdr>
            <w:top w:val="none" w:sz="0" w:space="0" w:color="auto"/>
            <w:left w:val="none" w:sz="0" w:space="0" w:color="auto"/>
            <w:bottom w:val="none" w:sz="0" w:space="0" w:color="auto"/>
            <w:right w:val="none" w:sz="0" w:space="0" w:color="auto"/>
          </w:divBdr>
          <w:divsChild>
            <w:div w:id="1315644996">
              <w:marLeft w:val="0"/>
              <w:marRight w:val="0"/>
              <w:marTop w:val="0"/>
              <w:marBottom w:val="0"/>
              <w:divBdr>
                <w:top w:val="none" w:sz="0" w:space="0" w:color="auto"/>
                <w:left w:val="none" w:sz="0" w:space="0" w:color="auto"/>
                <w:bottom w:val="none" w:sz="0" w:space="0" w:color="auto"/>
                <w:right w:val="none" w:sz="0" w:space="0" w:color="auto"/>
              </w:divBdr>
              <w:divsChild>
                <w:div w:id="1235778657">
                  <w:marLeft w:val="0"/>
                  <w:marRight w:val="0"/>
                  <w:marTop w:val="0"/>
                  <w:marBottom w:val="0"/>
                  <w:divBdr>
                    <w:top w:val="none" w:sz="0" w:space="0" w:color="auto"/>
                    <w:left w:val="none" w:sz="0" w:space="0" w:color="auto"/>
                    <w:bottom w:val="none" w:sz="0" w:space="0" w:color="auto"/>
                    <w:right w:val="none" w:sz="0" w:space="0" w:color="auto"/>
                  </w:divBdr>
                  <w:divsChild>
                    <w:div w:id="68775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8172640">
      <w:bodyDiv w:val="1"/>
      <w:marLeft w:val="0"/>
      <w:marRight w:val="0"/>
      <w:marTop w:val="0"/>
      <w:marBottom w:val="0"/>
      <w:divBdr>
        <w:top w:val="none" w:sz="0" w:space="0" w:color="auto"/>
        <w:left w:val="none" w:sz="0" w:space="0" w:color="auto"/>
        <w:bottom w:val="none" w:sz="0" w:space="0" w:color="auto"/>
        <w:right w:val="none" w:sz="0" w:space="0" w:color="auto"/>
      </w:divBdr>
      <w:divsChild>
        <w:div w:id="1393845461">
          <w:marLeft w:val="0"/>
          <w:marRight w:val="0"/>
          <w:marTop w:val="0"/>
          <w:marBottom w:val="0"/>
          <w:divBdr>
            <w:top w:val="none" w:sz="0" w:space="0" w:color="auto"/>
            <w:left w:val="none" w:sz="0" w:space="0" w:color="auto"/>
            <w:bottom w:val="none" w:sz="0" w:space="0" w:color="auto"/>
            <w:right w:val="none" w:sz="0" w:space="0" w:color="auto"/>
          </w:divBdr>
          <w:divsChild>
            <w:div w:id="623271721">
              <w:marLeft w:val="0"/>
              <w:marRight w:val="0"/>
              <w:marTop w:val="0"/>
              <w:marBottom w:val="0"/>
              <w:divBdr>
                <w:top w:val="none" w:sz="0" w:space="0" w:color="auto"/>
                <w:left w:val="none" w:sz="0" w:space="0" w:color="auto"/>
                <w:bottom w:val="none" w:sz="0" w:space="0" w:color="auto"/>
                <w:right w:val="none" w:sz="0" w:space="0" w:color="auto"/>
              </w:divBdr>
              <w:divsChild>
                <w:div w:id="1959991505">
                  <w:marLeft w:val="0"/>
                  <w:marRight w:val="0"/>
                  <w:marTop w:val="0"/>
                  <w:marBottom w:val="0"/>
                  <w:divBdr>
                    <w:top w:val="none" w:sz="0" w:space="0" w:color="auto"/>
                    <w:left w:val="none" w:sz="0" w:space="0" w:color="auto"/>
                    <w:bottom w:val="none" w:sz="0" w:space="0" w:color="auto"/>
                    <w:right w:val="none" w:sz="0" w:space="0" w:color="auto"/>
                  </w:divBdr>
                  <w:divsChild>
                    <w:div w:id="88991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8042332">
      <w:bodyDiv w:val="1"/>
      <w:marLeft w:val="0"/>
      <w:marRight w:val="0"/>
      <w:marTop w:val="0"/>
      <w:marBottom w:val="0"/>
      <w:divBdr>
        <w:top w:val="none" w:sz="0" w:space="0" w:color="auto"/>
        <w:left w:val="none" w:sz="0" w:space="0" w:color="auto"/>
        <w:bottom w:val="none" w:sz="0" w:space="0" w:color="auto"/>
        <w:right w:val="none" w:sz="0" w:space="0" w:color="auto"/>
      </w:divBdr>
      <w:divsChild>
        <w:div w:id="66794909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38BDD2-97C2-9345-B14F-5D22C0E6E6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39</Pages>
  <Words>10349</Words>
  <Characters>58991</Characters>
  <Application>Microsoft Office Word</Application>
  <DocSecurity>0</DocSecurity>
  <Lines>491</Lines>
  <Paragraphs>138</Paragraphs>
  <ScaleCrop>false</ScaleCrop>
  <HeadingPairs>
    <vt:vector size="2" baseType="variant">
      <vt:variant>
        <vt:lpstr>Title</vt:lpstr>
      </vt:variant>
      <vt:variant>
        <vt:i4>1</vt:i4>
      </vt:variant>
    </vt:vector>
  </HeadingPairs>
  <TitlesOfParts>
    <vt:vector size="1" baseType="lpstr">
      <vt:lpstr>Hume, Bayle, and the Idea of Body</vt:lpstr>
    </vt:vector>
  </TitlesOfParts>
  <Manager/>
  <Company/>
  <LinksUpToDate>false</LinksUpToDate>
  <CharactersWithSpaces>69202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Hume, Bayle, and the Idea of Body</dc:title>
  <dc:subject/>
  <dc:creator>Ehli, Bridger Maclean</dc:creator>
  <cp:keywords/>
  <dc:description/>
  <cp:lastModifiedBy>Ehli, Bridger Maclean</cp:lastModifiedBy>
  <cp:revision>6</cp:revision>
  <cp:lastPrinted>2024-06-18T18:36:00Z</cp:lastPrinted>
  <dcterms:created xsi:type="dcterms:W3CDTF">2024-07-24T18:14:00Z</dcterms:created>
  <dcterms:modified xsi:type="dcterms:W3CDTF">2024-09-13T19:39:00Z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bstract">
    <vt:lpwstr>In his Dictionnaire historique et critique, Bayle uses paradoxes of infinite divisibility to show we are unable to achieve a coherent conception of matter. The Treatise’s discussion of space has traditionally been understood as an attempted refutation of Bayle’s arguments. I argue that Hume ultimately accepts a position similar to Bayle’s in section 1.4.4 of the Treatise, “Of the modern philosophy.” On the standard reading, Hume’s argument in that section aims to undermine the distinction between the primary and secondary qualities of body. I show that Hume’s aim is rather to establish the deeply rooted inadequacy of our cognition of external bodies.</vt:lpwstr>
  </property>
  <property fmtid="{D5CDD505-2E9C-101B-9397-08002B2CF9AE}" pid="3" name="date">
    <vt:lpwstr/>
  </property>
</Properties>
</file>